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8DA0" w14:textId="0BEFAEDF" w:rsidR="0091107C" w:rsidRPr="0091107C" w:rsidRDefault="003844EC" w:rsidP="0091107C">
      <w:pPr>
        <w:pStyle w:val="berschrift1"/>
      </w:pPr>
      <w:r>
        <w:t>Handlungsschwerpunkte</w:t>
      </w:r>
    </w:p>
    <w:p w14:paraId="44CFFE5A" w14:textId="77777777" w:rsidR="0091107C" w:rsidRPr="0091107C" w:rsidRDefault="0091107C" w:rsidP="0091107C">
      <w:pPr>
        <w:pStyle w:val="Pa12"/>
        <w:spacing w:after="200" w:line="276" w:lineRule="auto"/>
        <w:rPr>
          <w:rFonts w:cs="BMFChange Light"/>
          <w:color w:val="000000"/>
          <w:sz w:val="22"/>
          <w:szCs w:val="22"/>
        </w:rPr>
      </w:pPr>
    </w:p>
    <w:p w14:paraId="490BA528" w14:textId="03B68E2B" w:rsidR="00E53023" w:rsidRPr="00E53023" w:rsidRDefault="00E53023" w:rsidP="00E53023">
      <w:pPr>
        <w:pStyle w:val="berschrift3"/>
      </w:pPr>
      <w:r w:rsidRPr="00E53023">
        <w:t>1 Archivzentrum</w:t>
      </w:r>
    </w:p>
    <w:p w14:paraId="5ECBD79B" w14:textId="667CB83C" w:rsidR="00E53023" w:rsidRPr="00E53023" w:rsidRDefault="00E53023" w:rsidP="00490C04">
      <w:pPr>
        <w:pStyle w:val="Pa12"/>
        <w:numPr>
          <w:ilvl w:val="0"/>
          <w:numId w:val="3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Das Archivzentrum ist ein Bundesvorhaben mit nationaler Bedeutung und hoher Ausstrahlungskraft für den Campus für Demokratie. Es stellt hohe technische und organisatorische Anforderungen. Raumbedarf ca. 30.000 m² Nettonutzfläche.</w:t>
      </w:r>
    </w:p>
    <w:p w14:paraId="4D1B4613" w14:textId="0688D1F2" w:rsidR="00E53023" w:rsidRPr="00E53023" w:rsidRDefault="00E53023" w:rsidP="00490C04">
      <w:pPr>
        <w:pStyle w:val="Pa12"/>
        <w:numPr>
          <w:ilvl w:val="0"/>
          <w:numId w:val="3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Sofern die funktionalen Anforderungen an das Archivzentrum einen Neubau bedingen, werden hohe Ansprüche an die Neugestaltung und die Art des Planungsverfahrens gestellt.</w:t>
      </w:r>
    </w:p>
    <w:p w14:paraId="2A5C2EE8" w14:textId="55E663DE" w:rsidR="00E53023" w:rsidRPr="00E53023" w:rsidRDefault="00E53023" w:rsidP="00490C04">
      <w:pPr>
        <w:pStyle w:val="Pa12"/>
        <w:numPr>
          <w:ilvl w:val="0"/>
          <w:numId w:val="3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Die Fläche des Hauses 6 wird Bestandteil der Archivnutzung.</w:t>
      </w:r>
    </w:p>
    <w:p w14:paraId="2D803241" w14:textId="77777777" w:rsidR="00E53023" w:rsidRPr="00E53023" w:rsidRDefault="00E53023" w:rsidP="00E53023">
      <w:pPr>
        <w:pStyle w:val="Pa12"/>
        <w:spacing w:after="200" w:line="276" w:lineRule="auto"/>
        <w:rPr>
          <w:rFonts w:cs="BMFChange Light"/>
          <w:color w:val="000000"/>
          <w:sz w:val="22"/>
          <w:szCs w:val="22"/>
        </w:rPr>
      </w:pPr>
    </w:p>
    <w:p w14:paraId="2A14B564" w14:textId="77777777" w:rsidR="00E53023" w:rsidRPr="00E53023" w:rsidRDefault="00E53023" w:rsidP="00E53023">
      <w:pPr>
        <w:pStyle w:val="berschrift3"/>
      </w:pPr>
      <w:r w:rsidRPr="00E53023">
        <w:t>2 Äußere Erschließung</w:t>
      </w:r>
    </w:p>
    <w:p w14:paraId="72367C8D" w14:textId="0D3373FF" w:rsidR="00E53023" w:rsidRPr="00E53023" w:rsidRDefault="00E53023" w:rsidP="00E53023">
      <w:pPr>
        <w:pStyle w:val="Pa12"/>
        <w:numPr>
          <w:ilvl w:val="0"/>
          <w:numId w:val="2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 xml:space="preserve">Optimale ÖPNV-Erschließung durch U-Bf. </w:t>
      </w:r>
      <w:proofErr w:type="spellStart"/>
      <w:r w:rsidRPr="00E53023">
        <w:rPr>
          <w:rFonts w:cs="BMFChange Light"/>
          <w:color w:val="000000"/>
          <w:sz w:val="22"/>
          <w:szCs w:val="22"/>
        </w:rPr>
        <w:t>Magdalenenstraße</w:t>
      </w:r>
      <w:proofErr w:type="spellEnd"/>
    </w:p>
    <w:p w14:paraId="2F553239" w14:textId="349DB46B" w:rsidR="00E53023" w:rsidRPr="00E53023" w:rsidRDefault="00E53023" w:rsidP="00E53023">
      <w:pPr>
        <w:pStyle w:val="Pa12"/>
        <w:numPr>
          <w:ilvl w:val="0"/>
          <w:numId w:val="2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Nutzung der Normannenstraße bei Veranstaltungen als begehbarer Raum</w:t>
      </w:r>
    </w:p>
    <w:p w14:paraId="72747811" w14:textId="486F9FB6" w:rsidR="00E53023" w:rsidRPr="00E53023" w:rsidRDefault="00E53023" w:rsidP="00E53023">
      <w:pPr>
        <w:pStyle w:val="Pa12"/>
        <w:numPr>
          <w:ilvl w:val="0"/>
          <w:numId w:val="2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 xml:space="preserve">Reaktivierung der Stellplätze </w:t>
      </w:r>
      <w:proofErr w:type="spellStart"/>
      <w:r w:rsidRPr="00E53023">
        <w:rPr>
          <w:rFonts w:cs="BMFChange Light"/>
          <w:color w:val="000000"/>
          <w:sz w:val="22"/>
          <w:szCs w:val="22"/>
        </w:rPr>
        <w:t>Ruschestraße</w:t>
      </w:r>
      <w:proofErr w:type="spellEnd"/>
    </w:p>
    <w:p w14:paraId="792F0953" w14:textId="560C86AF" w:rsidR="00E53023" w:rsidRPr="00E53023" w:rsidRDefault="00E53023" w:rsidP="00E53023">
      <w:pPr>
        <w:pStyle w:val="Pa12"/>
        <w:numPr>
          <w:ilvl w:val="0"/>
          <w:numId w:val="2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Busparken in der Frankfurter Allee ermöglichen</w:t>
      </w:r>
    </w:p>
    <w:p w14:paraId="1C85BDC0" w14:textId="77777777" w:rsidR="00E53023" w:rsidRPr="00E53023" w:rsidRDefault="00E53023" w:rsidP="00E53023">
      <w:pPr>
        <w:pStyle w:val="Pa12"/>
        <w:spacing w:after="200" w:line="276" w:lineRule="auto"/>
        <w:rPr>
          <w:rFonts w:cs="BMFChange Light"/>
          <w:color w:val="000000"/>
          <w:sz w:val="22"/>
          <w:szCs w:val="22"/>
        </w:rPr>
      </w:pPr>
    </w:p>
    <w:p w14:paraId="51CD2752" w14:textId="77777777" w:rsidR="00E53023" w:rsidRPr="00E53023" w:rsidRDefault="00E53023" w:rsidP="00E53023">
      <w:pPr>
        <w:pStyle w:val="berschrift3"/>
      </w:pPr>
      <w:r w:rsidRPr="00E53023">
        <w:t>3 Innere Erschließung</w:t>
      </w:r>
    </w:p>
    <w:p w14:paraId="78235EFA" w14:textId="0FBB3BF9" w:rsidR="00E53023" w:rsidRPr="00E53023" w:rsidRDefault="00E53023" w:rsidP="00490C04">
      <w:pPr>
        <w:pStyle w:val="Pa12"/>
        <w:numPr>
          <w:ilvl w:val="0"/>
          <w:numId w:val="4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Ziel: geordnete gesicherte öffentliche Erschließung von Norden und Westen</w:t>
      </w:r>
    </w:p>
    <w:p w14:paraId="7FFF8484" w14:textId="048033EE" w:rsidR="00E53023" w:rsidRPr="00E53023" w:rsidRDefault="00E53023" w:rsidP="00490C04">
      <w:pPr>
        <w:pStyle w:val="Pa12"/>
        <w:numPr>
          <w:ilvl w:val="0"/>
          <w:numId w:val="4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 xml:space="preserve">Fußwegerschließung zur Frankfurter Allee und zur </w:t>
      </w:r>
      <w:proofErr w:type="spellStart"/>
      <w:r w:rsidRPr="00E53023">
        <w:rPr>
          <w:rFonts w:cs="BMFChange Light"/>
          <w:color w:val="000000"/>
          <w:sz w:val="22"/>
          <w:szCs w:val="22"/>
        </w:rPr>
        <w:t>Magdalenenstraße</w:t>
      </w:r>
      <w:proofErr w:type="spellEnd"/>
    </w:p>
    <w:p w14:paraId="088BCB25" w14:textId="6272B8CB" w:rsidR="00E53023" w:rsidRPr="00E53023" w:rsidRDefault="00E53023" w:rsidP="00490C04">
      <w:pPr>
        <w:pStyle w:val="Pa12"/>
        <w:numPr>
          <w:ilvl w:val="0"/>
          <w:numId w:val="4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Kein allgemeines Parken mehr im Block</w:t>
      </w:r>
    </w:p>
    <w:p w14:paraId="75FD0269" w14:textId="2D1D887E" w:rsidR="00E53023" w:rsidRPr="00E53023" w:rsidRDefault="00E53023" w:rsidP="00490C04">
      <w:pPr>
        <w:pStyle w:val="Pa12"/>
        <w:numPr>
          <w:ilvl w:val="0"/>
          <w:numId w:val="4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Multifunktionale Platzgestaltung zwischen Haus 1 und 22 (Denkmalfläche)</w:t>
      </w:r>
    </w:p>
    <w:p w14:paraId="06526A4A" w14:textId="59EBB366" w:rsidR="00E53023" w:rsidRPr="00E53023" w:rsidRDefault="00E53023" w:rsidP="00490C04">
      <w:pPr>
        <w:pStyle w:val="Pa12"/>
        <w:numPr>
          <w:ilvl w:val="0"/>
          <w:numId w:val="4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 xml:space="preserve">Zugang und Feuerwehrzufahrt über die </w:t>
      </w:r>
      <w:proofErr w:type="spellStart"/>
      <w:r w:rsidRPr="00E53023">
        <w:rPr>
          <w:rFonts w:cs="BMFChange Light"/>
          <w:color w:val="000000"/>
          <w:sz w:val="22"/>
          <w:szCs w:val="22"/>
        </w:rPr>
        <w:t>Magdalenenstraße</w:t>
      </w:r>
      <w:proofErr w:type="spellEnd"/>
    </w:p>
    <w:p w14:paraId="22C43AFA" w14:textId="18608BE6" w:rsidR="00490C04" w:rsidRDefault="00490C04">
      <w:pPr>
        <w:spacing w:line="259" w:lineRule="auto"/>
        <w:rPr>
          <w:rFonts w:ascii="BMFChange Light" w:hAnsi="BMFChange Light" w:cs="BMFChange Light"/>
          <w:color w:val="000000"/>
        </w:rPr>
      </w:pPr>
      <w:r>
        <w:rPr>
          <w:rFonts w:cs="BMFChange Light"/>
          <w:color w:val="000000"/>
        </w:rPr>
        <w:br w:type="page"/>
      </w:r>
    </w:p>
    <w:p w14:paraId="5D175519" w14:textId="77777777" w:rsidR="00E53023" w:rsidRPr="00E53023" w:rsidRDefault="00E53023" w:rsidP="00E53023">
      <w:pPr>
        <w:pStyle w:val="berschrift3"/>
      </w:pPr>
      <w:r w:rsidRPr="00E53023">
        <w:lastRenderedPageBreak/>
        <w:t>4 Soziales und Kultur</w:t>
      </w:r>
    </w:p>
    <w:p w14:paraId="2255EA5B" w14:textId="4F531DB4" w:rsidR="00E53023" w:rsidRPr="00E53023" w:rsidRDefault="00E53023" w:rsidP="00490C04">
      <w:pPr>
        <w:pStyle w:val="Pa12"/>
        <w:numPr>
          <w:ilvl w:val="0"/>
          <w:numId w:val="5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Das zu erhaltende Ärztehaus bietet wichtige gesundheitliche Angebote für den Bezirk.</w:t>
      </w:r>
    </w:p>
    <w:p w14:paraId="550C7C33" w14:textId="295C172D" w:rsidR="00E53023" w:rsidRPr="00E53023" w:rsidRDefault="00E53023" w:rsidP="00490C04">
      <w:pPr>
        <w:pStyle w:val="Pa12"/>
        <w:numPr>
          <w:ilvl w:val="0"/>
          <w:numId w:val="5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Jugendfreizeitangebote sind defizitär. Haus 21 ist wegen der Nachbarschaft grundsätzlich eine geeignete Option für das Angebot einer Jugendfreizeiteinrichtung.</w:t>
      </w:r>
    </w:p>
    <w:p w14:paraId="5B0593E2" w14:textId="680183F4" w:rsidR="00E53023" w:rsidRPr="00E53023" w:rsidRDefault="00E53023" w:rsidP="00490C04">
      <w:pPr>
        <w:pStyle w:val="Pa12"/>
        <w:numPr>
          <w:ilvl w:val="0"/>
          <w:numId w:val="5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 xml:space="preserve">Das Haus 18 soll Ort für Erinnerungskultur und kreativ-kulturelle Nutzungen werden; die Unterbringung des Forums Widerstand und Opposition (RHG) ist angestrebt. </w:t>
      </w:r>
    </w:p>
    <w:p w14:paraId="00071966" w14:textId="5A36497F" w:rsidR="00E53023" w:rsidRPr="00E53023" w:rsidRDefault="00E53023" w:rsidP="00490C04">
      <w:pPr>
        <w:pStyle w:val="Pa12"/>
        <w:numPr>
          <w:ilvl w:val="0"/>
          <w:numId w:val="5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Es bestehen hohe städtebaulich- architektonische und gestalterische Anforderungen, dies erfordert ein Gesamtkonzept.</w:t>
      </w:r>
    </w:p>
    <w:p w14:paraId="2B661ECB" w14:textId="77777777" w:rsidR="00E53023" w:rsidRPr="00E53023" w:rsidRDefault="00E53023" w:rsidP="00E53023">
      <w:pPr>
        <w:pStyle w:val="Pa12"/>
        <w:spacing w:after="200" w:line="276" w:lineRule="auto"/>
        <w:rPr>
          <w:rFonts w:cs="BMFChange Light"/>
          <w:color w:val="000000"/>
          <w:sz w:val="22"/>
          <w:szCs w:val="22"/>
        </w:rPr>
      </w:pPr>
    </w:p>
    <w:p w14:paraId="07B82931" w14:textId="77777777" w:rsidR="00E53023" w:rsidRPr="00E53023" w:rsidRDefault="00E53023" w:rsidP="00E53023">
      <w:pPr>
        <w:pStyle w:val="berschrift3"/>
      </w:pPr>
      <w:r w:rsidRPr="00E53023">
        <w:t>5 Freiraum/Umwelt</w:t>
      </w:r>
    </w:p>
    <w:p w14:paraId="09C46F9D" w14:textId="102FFC51" w:rsidR="00E53023" w:rsidRPr="00E53023" w:rsidRDefault="00E53023" w:rsidP="00490C04">
      <w:pPr>
        <w:pStyle w:val="Pa12"/>
        <w:numPr>
          <w:ilvl w:val="0"/>
          <w:numId w:val="6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Erstellung eines energetischen und ökologischen Blockkonzepts</w:t>
      </w:r>
    </w:p>
    <w:p w14:paraId="4FFA8724" w14:textId="48AF553B" w:rsidR="00E53023" w:rsidRPr="00E53023" w:rsidRDefault="00E53023" w:rsidP="00490C04">
      <w:pPr>
        <w:pStyle w:val="Pa12"/>
        <w:numPr>
          <w:ilvl w:val="0"/>
          <w:numId w:val="6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Energetisches Blockkonzept und energetische Gebäudesanierung</w:t>
      </w:r>
    </w:p>
    <w:p w14:paraId="591F5741" w14:textId="16AF6FDE" w:rsidR="00E53023" w:rsidRPr="00E53023" w:rsidRDefault="00E53023" w:rsidP="00490C04">
      <w:pPr>
        <w:pStyle w:val="Pa12"/>
        <w:numPr>
          <w:ilvl w:val="0"/>
          <w:numId w:val="6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Freiraumaufwertung für das bestehende Wohnen</w:t>
      </w:r>
    </w:p>
    <w:p w14:paraId="22633706" w14:textId="72AAA347" w:rsidR="00E53023" w:rsidRPr="00E53023" w:rsidRDefault="00E53023" w:rsidP="00490C04">
      <w:pPr>
        <w:pStyle w:val="Pa12"/>
        <w:numPr>
          <w:ilvl w:val="0"/>
          <w:numId w:val="6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Dachbegrünung</w:t>
      </w:r>
    </w:p>
    <w:p w14:paraId="5342B5EC" w14:textId="1315C85B" w:rsidR="00E53023" w:rsidRPr="00E53023" w:rsidRDefault="00E53023" w:rsidP="00490C04">
      <w:pPr>
        <w:pStyle w:val="Pa12"/>
        <w:numPr>
          <w:ilvl w:val="0"/>
          <w:numId w:val="6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Erhaltung von Bestehendem</w:t>
      </w:r>
    </w:p>
    <w:p w14:paraId="5052F43C" w14:textId="0696948E" w:rsidR="00E53023" w:rsidRPr="00E53023" w:rsidRDefault="00E53023" w:rsidP="00490C04">
      <w:pPr>
        <w:pStyle w:val="Pa12"/>
        <w:numPr>
          <w:ilvl w:val="0"/>
          <w:numId w:val="6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Entsiegelung, Prüfung von Maßnahmen zum Umgang mit Starkregenereignissen</w:t>
      </w:r>
    </w:p>
    <w:p w14:paraId="19707CEA" w14:textId="77777777" w:rsidR="00E53023" w:rsidRPr="00E53023" w:rsidRDefault="00E53023" w:rsidP="00E53023">
      <w:pPr>
        <w:pStyle w:val="Pa12"/>
        <w:spacing w:after="200" w:line="276" w:lineRule="auto"/>
        <w:rPr>
          <w:rFonts w:cs="BMFChange Light"/>
          <w:color w:val="000000"/>
          <w:sz w:val="22"/>
          <w:szCs w:val="22"/>
        </w:rPr>
      </w:pPr>
    </w:p>
    <w:p w14:paraId="0B74CBB1" w14:textId="77777777" w:rsidR="00E53023" w:rsidRPr="00E53023" w:rsidRDefault="00E53023" w:rsidP="00E53023">
      <w:pPr>
        <w:pStyle w:val="berschrift3"/>
      </w:pPr>
      <w:r w:rsidRPr="00E53023">
        <w:t>6 Städtebauliche Aspekte</w:t>
      </w:r>
    </w:p>
    <w:p w14:paraId="7961513A" w14:textId="77777777" w:rsidR="00E53023" w:rsidRPr="00E53023" w:rsidRDefault="00E53023" w:rsidP="00E53023">
      <w:pPr>
        <w:pStyle w:val="Pa12"/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Häuser 15 und 16:</w:t>
      </w:r>
    </w:p>
    <w:p w14:paraId="2576210C" w14:textId="474CA1C8" w:rsidR="00E53023" w:rsidRPr="00E53023" w:rsidRDefault="00E53023" w:rsidP="00490C04">
      <w:pPr>
        <w:pStyle w:val="Pa12"/>
        <w:numPr>
          <w:ilvl w:val="0"/>
          <w:numId w:val="7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Hohe GFZ im Bestand; Erhalt aus städtebaulich/historischen Gründen für verträgliche gewerbliche oder öffentliche Nutzungen</w:t>
      </w:r>
    </w:p>
    <w:p w14:paraId="3FDE9051" w14:textId="04964DA5" w:rsidR="00E53023" w:rsidRPr="00E53023" w:rsidRDefault="00E53023" w:rsidP="00490C04">
      <w:pPr>
        <w:pStyle w:val="Pa12"/>
        <w:numPr>
          <w:ilvl w:val="0"/>
          <w:numId w:val="7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Gestaltungsanforderungen im Kontext des Ensembles</w:t>
      </w:r>
    </w:p>
    <w:p w14:paraId="0EDC1A79" w14:textId="77777777" w:rsidR="00E53023" w:rsidRPr="00E53023" w:rsidRDefault="00E53023" w:rsidP="00E53023">
      <w:pPr>
        <w:pStyle w:val="Pa12"/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E53023">
        <w:rPr>
          <w:rFonts w:cs="BMFChange Light"/>
          <w:color w:val="000000"/>
          <w:sz w:val="22"/>
          <w:szCs w:val="22"/>
        </w:rPr>
        <w:t>Haus 17:</w:t>
      </w:r>
    </w:p>
    <w:p w14:paraId="7383A969" w14:textId="0A5181F3" w:rsidR="00FC2C39" w:rsidRDefault="00E53023" w:rsidP="00490C04">
      <w:pPr>
        <w:pStyle w:val="Pa12"/>
        <w:numPr>
          <w:ilvl w:val="0"/>
          <w:numId w:val="8"/>
        </w:numPr>
        <w:spacing w:after="200" w:line="276" w:lineRule="auto"/>
      </w:pPr>
      <w:r w:rsidRPr="00E53023">
        <w:rPr>
          <w:rFonts w:cs="BMFChange Light"/>
          <w:color w:val="000000"/>
          <w:sz w:val="22"/>
          <w:szCs w:val="22"/>
        </w:rPr>
        <w:t xml:space="preserve">Beibehaltung der Gebäudehöhe aus städtebaulichen Gründen und aufgrund der hohen </w:t>
      </w:r>
      <w:proofErr w:type="gramStart"/>
      <w:r w:rsidRPr="00E53023">
        <w:rPr>
          <w:rFonts w:cs="BMFChange Light"/>
          <w:color w:val="000000"/>
          <w:sz w:val="22"/>
          <w:szCs w:val="22"/>
        </w:rPr>
        <w:t>Dichte  bzw.</w:t>
      </w:r>
      <w:proofErr w:type="gramEnd"/>
      <w:r w:rsidRPr="00E53023">
        <w:rPr>
          <w:rFonts w:cs="BMFChange Light"/>
          <w:color w:val="000000"/>
          <w:sz w:val="22"/>
          <w:szCs w:val="22"/>
        </w:rPr>
        <w:t xml:space="preserve"> hohen zeitgeschichtlichen Bedeutung</w:t>
      </w:r>
    </w:p>
    <w:sectPr w:rsidR="00FC2C39" w:rsidSect="00480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0" w:footer="0" w:gutter="0"/>
      <w:pgNumType w:start="104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1C29" w14:textId="77777777" w:rsidR="00222597" w:rsidRDefault="00222597" w:rsidP="00222597">
      <w:pPr>
        <w:spacing w:after="0" w:line="240" w:lineRule="auto"/>
      </w:pPr>
      <w:r>
        <w:separator/>
      </w:r>
    </w:p>
  </w:endnote>
  <w:endnote w:type="continuationSeparator" w:id="0">
    <w:p w14:paraId="7A0158CC" w14:textId="77777777" w:rsidR="00222597" w:rsidRDefault="00222597" w:rsidP="0022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BMFChange Medium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BMFChange Light">
    <w:panose1 w:val="02000503040000020004"/>
    <w:charset w:val="00"/>
    <w:family w:val="auto"/>
    <w:pitch w:val="variable"/>
    <w:sig w:usb0="A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FD8F7" w14:textId="77777777" w:rsidR="00336F3B" w:rsidRDefault="003844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8454932"/>
      <w:docPartObj>
        <w:docPartGallery w:val="Page Numbers (Bottom of Page)"/>
        <w:docPartUnique/>
      </w:docPartObj>
    </w:sdtPr>
    <w:sdtEndPr/>
    <w:sdtContent>
      <w:p w14:paraId="60BA1738" w14:textId="77777777" w:rsidR="00336F3B" w:rsidRDefault="002225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99B95" w14:textId="77777777" w:rsidR="00336F3B" w:rsidRDefault="003844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359CF" w14:textId="77777777" w:rsidR="00336F3B" w:rsidRDefault="003844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71DFA" w14:textId="77777777" w:rsidR="00222597" w:rsidRDefault="00222597" w:rsidP="00222597">
      <w:pPr>
        <w:spacing w:after="0" w:line="240" w:lineRule="auto"/>
      </w:pPr>
      <w:r>
        <w:separator/>
      </w:r>
    </w:p>
  </w:footnote>
  <w:footnote w:type="continuationSeparator" w:id="0">
    <w:p w14:paraId="2018936B" w14:textId="77777777" w:rsidR="00222597" w:rsidRDefault="00222597" w:rsidP="0022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CA6A" w14:textId="77777777" w:rsidR="00336F3B" w:rsidRDefault="003844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D0E8" w14:textId="77777777" w:rsidR="00336F3B" w:rsidRDefault="003844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BA973" w14:textId="77777777" w:rsidR="00336F3B" w:rsidRDefault="003844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2652"/>
    <w:multiLevelType w:val="hybridMultilevel"/>
    <w:tmpl w:val="A47008C0"/>
    <w:lvl w:ilvl="0" w:tplc="3830DAE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u w:color="1F4E79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D67"/>
    <w:multiLevelType w:val="hybridMultilevel"/>
    <w:tmpl w:val="6274643A"/>
    <w:lvl w:ilvl="0" w:tplc="3830DAE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u w:color="1F4E79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32CE"/>
    <w:multiLevelType w:val="hybridMultilevel"/>
    <w:tmpl w:val="A95CB0C6"/>
    <w:lvl w:ilvl="0" w:tplc="3830DAE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u w:color="1F4E79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46FA"/>
    <w:multiLevelType w:val="hybridMultilevel"/>
    <w:tmpl w:val="583081A0"/>
    <w:lvl w:ilvl="0" w:tplc="3830DAE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u w:color="1F4E79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0042"/>
    <w:multiLevelType w:val="hybridMultilevel"/>
    <w:tmpl w:val="3EF21C7E"/>
    <w:lvl w:ilvl="0" w:tplc="3830DAE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u w:color="1F4E79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4550D"/>
    <w:multiLevelType w:val="hybridMultilevel"/>
    <w:tmpl w:val="4AB6A95A"/>
    <w:lvl w:ilvl="0" w:tplc="3830DAE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u w:color="1F4E79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66189"/>
    <w:multiLevelType w:val="hybridMultilevel"/>
    <w:tmpl w:val="408C865A"/>
    <w:lvl w:ilvl="0" w:tplc="3830DAE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u w:color="1F4E79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9778A"/>
    <w:multiLevelType w:val="hybridMultilevel"/>
    <w:tmpl w:val="8B244D96"/>
    <w:lvl w:ilvl="0" w:tplc="3830DAE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u w:color="1F4E79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97"/>
    <w:rsid w:val="001235C8"/>
    <w:rsid w:val="00222597"/>
    <w:rsid w:val="003844EC"/>
    <w:rsid w:val="00490C04"/>
    <w:rsid w:val="007A35E4"/>
    <w:rsid w:val="0091027A"/>
    <w:rsid w:val="0091107C"/>
    <w:rsid w:val="00E53023"/>
    <w:rsid w:val="00F76840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92DBF"/>
  <w15:chartTrackingRefBased/>
  <w15:docId w15:val="{40EF7D16-1667-4167-B97A-B16BD6F6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2597"/>
    <w:pPr>
      <w:spacing w:line="252" w:lineRule="auto"/>
    </w:pPr>
    <w:rPr>
      <w:color w:val="00000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2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222597"/>
    <w:pPr>
      <w:autoSpaceDE w:val="0"/>
      <w:autoSpaceDN w:val="0"/>
      <w:adjustRightInd w:val="0"/>
      <w:spacing w:before="454" w:after="0" w:line="288" w:lineRule="auto"/>
      <w:textAlignment w:val="center"/>
      <w:outlineLvl w:val="1"/>
    </w:pPr>
    <w:rPr>
      <w:rFonts w:ascii="BMFChange" w:hAnsi="BMFChange" w:cs="BMFChange Medium"/>
      <w:b/>
      <w:color w:val="6F6F6E"/>
      <w:sz w:val="32"/>
      <w:szCs w:val="3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53023"/>
    <w:pPr>
      <w:keepNext/>
      <w:keepLines/>
      <w:spacing w:before="40" w:after="0"/>
      <w:outlineLvl w:val="2"/>
    </w:pPr>
    <w:rPr>
      <w:rFonts w:ascii="BMFChange" w:eastAsiaTheme="majorEastAsia" w:hAnsi="BMFChange" w:cstheme="majorBidi"/>
      <w:bCs/>
      <w:color w:val="2F5496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225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222597"/>
    <w:rPr>
      <w:rFonts w:ascii="BMFChange" w:hAnsi="BMFChange" w:cs="BMFChange Medium"/>
      <w:b/>
      <w:color w:val="6F6F6E"/>
      <w:sz w:val="32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3023"/>
    <w:rPr>
      <w:rFonts w:ascii="BMFChange" w:eastAsiaTheme="majorEastAsia" w:hAnsi="BMFChange" w:cstheme="majorBidi"/>
      <w:bCs/>
      <w:color w:val="2F5496" w:themeColor="accent1" w:themeShade="BF"/>
      <w:sz w:val="24"/>
      <w:szCs w:val="24"/>
    </w:rPr>
  </w:style>
  <w:style w:type="character" w:customStyle="1" w:styleId="A11">
    <w:name w:val="A11"/>
    <w:uiPriority w:val="99"/>
    <w:qFormat/>
    <w:rsid w:val="00222597"/>
    <w:rPr>
      <w:rFonts w:cs="BMFChange Light"/>
      <w:color w:val="000000"/>
      <w:sz w:val="22"/>
      <w:szCs w:val="22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qFormat/>
    <w:rsid w:val="00222597"/>
    <w:rPr>
      <w:sz w:val="20"/>
      <w:szCs w:val="20"/>
    </w:rPr>
  </w:style>
  <w:style w:type="character" w:styleId="Funotenzeichen">
    <w:name w:val="footnote reference"/>
    <w:qFormat/>
    <w:rsid w:val="00222597"/>
  </w:style>
  <w:style w:type="character" w:customStyle="1" w:styleId="Funotenanker">
    <w:name w:val="Fußnotenanker"/>
    <w:rsid w:val="00222597"/>
    <w:rPr>
      <w:vertAlign w:val="superscript"/>
    </w:rPr>
  </w:style>
  <w:style w:type="paragraph" w:customStyle="1" w:styleId="Pa12">
    <w:name w:val="Pa12"/>
    <w:basedOn w:val="Standard"/>
    <w:next w:val="Standard"/>
    <w:uiPriority w:val="99"/>
    <w:qFormat/>
    <w:rsid w:val="00222597"/>
    <w:pPr>
      <w:spacing w:after="0" w:line="221" w:lineRule="atLeast"/>
    </w:pPr>
    <w:rPr>
      <w:rFonts w:ascii="BMFChange Light" w:hAnsi="BMFChange Light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222597"/>
    <w:rPr>
      <w:color w:val="auto"/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222597"/>
    <w:rPr>
      <w:color w:val="00000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2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597"/>
    <w:rPr>
      <w:color w:val="00000A"/>
    </w:rPr>
  </w:style>
  <w:style w:type="paragraph" w:styleId="Fuzeile">
    <w:name w:val="footer"/>
    <w:basedOn w:val="Standard"/>
    <w:link w:val="FuzeileZchn"/>
    <w:uiPriority w:val="99"/>
    <w:unhideWhenUsed/>
    <w:rsid w:val="0022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597"/>
    <w:rPr>
      <w:color w:val="00000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2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2259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Franzkowiak</dc:creator>
  <cp:keywords/>
  <dc:description/>
  <cp:lastModifiedBy>Roman Stricker</cp:lastModifiedBy>
  <cp:revision>3</cp:revision>
  <dcterms:created xsi:type="dcterms:W3CDTF">2020-07-10T09:32:00Z</dcterms:created>
  <dcterms:modified xsi:type="dcterms:W3CDTF">2020-07-10T09:39:00Z</dcterms:modified>
</cp:coreProperties>
</file>