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63DA7" w14:textId="77777777" w:rsidR="004160EA" w:rsidRDefault="004160EA" w:rsidP="001F7450">
      <w:pPr>
        <w:autoSpaceDE w:val="0"/>
        <w:autoSpaceDN w:val="0"/>
        <w:adjustRightInd w:val="0"/>
        <w:snapToGrid w:val="0"/>
        <w:spacing w:after="200" w:line="240" w:lineRule="auto"/>
        <w:rPr>
          <w:rFonts w:ascii="BMFChange" w:eastAsia="Times New Roman" w:hAnsi="BMFChange" w:cs="BMFChange-Bold"/>
          <w:b/>
          <w:color w:val="000000"/>
          <w:sz w:val="36"/>
          <w:szCs w:val="24"/>
        </w:rPr>
      </w:pPr>
      <w:r>
        <w:rPr>
          <w:rFonts w:ascii="BMFChange" w:eastAsia="Times New Roman" w:hAnsi="BMFChange" w:cs="BMFChange-Bold"/>
          <w:b/>
          <w:color w:val="000000"/>
          <w:sz w:val="36"/>
          <w:szCs w:val="24"/>
        </w:rPr>
        <w:t>Förderverfahren</w:t>
      </w:r>
    </w:p>
    <w:p w14:paraId="40100390" w14:textId="54E74386" w:rsidR="001F7450" w:rsidRPr="004160EA" w:rsidRDefault="001F7450" w:rsidP="001F7450">
      <w:pPr>
        <w:autoSpaceDE w:val="0"/>
        <w:autoSpaceDN w:val="0"/>
        <w:adjustRightInd w:val="0"/>
        <w:snapToGrid w:val="0"/>
        <w:spacing w:after="200" w:line="240" w:lineRule="auto"/>
        <w:rPr>
          <w:rFonts w:ascii="BMFChange" w:eastAsia="Times New Roman" w:hAnsi="BMFChange" w:cs="BMFChange-Bold"/>
          <w:b/>
          <w:color w:val="000000"/>
          <w:sz w:val="24"/>
          <w:szCs w:val="24"/>
        </w:rPr>
      </w:pPr>
      <w:r w:rsidRPr="004160EA">
        <w:rPr>
          <w:rFonts w:ascii="BMFChange" w:eastAsia="Times New Roman" w:hAnsi="BMFChange" w:cs="BMFChange-Bold"/>
          <w:b/>
          <w:color w:val="000000"/>
          <w:sz w:val="24"/>
          <w:szCs w:val="24"/>
        </w:rPr>
        <w:t xml:space="preserve">Sanierungsgebiets- und </w:t>
      </w:r>
      <w:proofErr w:type="spellStart"/>
      <w:r w:rsidR="003D43F0" w:rsidRPr="004160EA">
        <w:rPr>
          <w:rFonts w:ascii="BMFChange" w:eastAsia="Times New Roman" w:hAnsi="BMFChange" w:cs="BMFChange-Bold"/>
          <w:b/>
          <w:color w:val="000000"/>
          <w:sz w:val="24"/>
          <w:szCs w:val="24"/>
        </w:rPr>
        <w:t>Städtebauförderkulisse</w:t>
      </w:r>
      <w:proofErr w:type="spellEnd"/>
    </w:p>
    <w:p w14:paraId="4165714C" w14:textId="16DE4654" w:rsidR="001F7450" w:rsidRPr="001F7450" w:rsidRDefault="000F079B"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r>
        <w:rPr>
          <w:rFonts w:ascii="BMFChange" w:eastAsia="Times New Roman" w:hAnsi="BMFChange" w:cs="BMFChange-Regular"/>
          <w:color w:val="000000"/>
          <w:szCs w:val="24"/>
        </w:rPr>
        <w:t>S</w:t>
      </w:r>
      <w:r w:rsidR="004160EA">
        <w:rPr>
          <w:rFonts w:ascii="BMFChange" w:eastAsia="Times New Roman" w:hAnsi="BMFChange" w:cs="BMFChange-Regular"/>
          <w:color w:val="000000"/>
          <w:szCs w:val="24"/>
        </w:rPr>
        <w:t>eit</w:t>
      </w:r>
      <w:r w:rsidR="00AD524C" w:rsidRPr="008A6517">
        <w:rPr>
          <w:rFonts w:ascii="BMFChange" w:eastAsia="Times New Roman" w:hAnsi="BMFChange" w:cs="BMFChange-Regular"/>
          <w:color w:val="000000"/>
          <w:szCs w:val="24"/>
          <w:lang w:val="x-none"/>
        </w:rPr>
        <w:t xml:space="preserve"> März 2011 </w:t>
      </w:r>
      <w:r>
        <w:rPr>
          <w:rFonts w:ascii="BMFChange" w:eastAsia="Times New Roman" w:hAnsi="BMFChange" w:cs="BMFChange-Regular"/>
          <w:color w:val="000000"/>
          <w:szCs w:val="24"/>
        </w:rPr>
        <w:t xml:space="preserve">sind drei </w:t>
      </w:r>
      <w:r w:rsidR="000921C0">
        <w:rPr>
          <w:rFonts w:ascii="BMFChange" w:eastAsia="Times New Roman" w:hAnsi="BMFChange" w:cs="BMFChange-Regular"/>
          <w:color w:val="000000"/>
          <w:szCs w:val="24"/>
        </w:rPr>
        <w:t>Teilb</w:t>
      </w:r>
      <w:r>
        <w:rPr>
          <w:rFonts w:ascii="BMFChange" w:eastAsia="Times New Roman" w:hAnsi="BMFChange" w:cs="BMFChange-Regular"/>
          <w:color w:val="000000"/>
          <w:szCs w:val="24"/>
        </w:rPr>
        <w:t xml:space="preserve">ereiche </w:t>
      </w:r>
      <w:r w:rsidR="00674125">
        <w:rPr>
          <w:rFonts w:ascii="BMFChange" w:eastAsia="Times New Roman" w:hAnsi="BMFChange" w:cs="BMFChange-Regular"/>
          <w:color w:val="000000"/>
          <w:szCs w:val="24"/>
        </w:rPr>
        <w:t xml:space="preserve">(sog. Sanierungsinseln) </w:t>
      </w:r>
      <w:r>
        <w:rPr>
          <w:rFonts w:ascii="BMFChange" w:eastAsia="Times New Roman" w:hAnsi="BMFChange" w:cs="BMFChange-Regular"/>
          <w:color w:val="000000"/>
          <w:szCs w:val="24"/>
        </w:rPr>
        <w:t>i</w:t>
      </w:r>
      <w:r w:rsidR="000921C0">
        <w:rPr>
          <w:rFonts w:ascii="BMFChange" w:eastAsia="Times New Roman" w:hAnsi="BMFChange" w:cs="BMFChange-Regular"/>
          <w:color w:val="000000"/>
          <w:szCs w:val="24"/>
        </w:rPr>
        <w:t xml:space="preserve">nnerhalb des </w:t>
      </w:r>
      <w:r w:rsidR="003D43F0">
        <w:rPr>
          <w:rFonts w:ascii="BMFChange" w:eastAsia="Times New Roman" w:hAnsi="BMFChange" w:cs="BMFChange-Regular"/>
          <w:color w:val="000000"/>
          <w:szCs w:val="24"/>
        </w:rPr>
        <w:t xml:space="preserve">Fördergebiets „Nachhaltige Erneuerung“ </w:t>
      </w:r>
      <w:r w:rsidR="008446DE">
        <w:rPr>
          <w:rFonts w:ascii="BMFChange" w:eastAsia="Times New Roman" w:hAnsi="BMFChange" w:cs="BMFChange-Regular"/>
          <w:color w:val="000000"/>
          <w:szCs w:val="24"/>
        </w:rPr>
        <w:t>Frankfurter Allee Nord</w:t>
      </w:r>
      <w:r>
        <w:rPr>
          <w:rFonts w:ascii="BMFChange" w:eastAsia="Times New Roman" w:hAnsi="BMFChange" w:cs="BMFChange-Regular"/>
          <w:color w:val="000000"/>
          <w:szCs w:val="24"/>
        </w:rPr>
        <w:t xml:space="preserve"> </w:t>
      </w:r>
      <w:r w:rsidR="00AD524C" w:rsidRPr="008A6517">
        <w:rPr>
          <w:rFonts w:ascii="BMFChange" w:eastAsia="Times New Roman" w:hAnsi="BMFChange" w:cs="BMFChange-Regular"/>
          <w:color w:val="000000"/>
          <w:szCs w:val="24"/>
          <w:lang w:val="x-none"/>
        </w:rPr>
        <w:t>förmlich als Sanierungsgebiet nach § 142 BauGB (umfassendes Verfahren) festgelegt</w:t>
      </w:r>
      <w:r>
        <w:rPr>
          <w:rFonts w:ascii="BMFChange" w:eastAsia="Times New Roman" w:hAnsi="BMFChange" w:cs="BMFChange-Regular"/>
          <w:color w:val="000000"/>
          <w:szCs w:val="24"/>
        </w:rPr>
        <w:t xml:space="preserve">. </w:t>
      </w:r>
      <w:r w:rsidR="001F7450" w:rsidRPr="001F7450">
        <w:rPr>
          <w:rFonts w:ascii="BMFChange" w:eastAsia="Times New Roman" w:hAnsi="BMFChange" w:cs="BMFChange-Regular"/>
          <w:color w:val="000000"/>
          <w:szCs w:val="24"/>
          <w:lang w:val="x-none"/>
        </w:rPr>
        <w:t>Aus der Analyse ergeben sich für die</w:t>
      </w:r>
      <w:r w:rsidR="000921C0">
        <w:rPr>
          <w:rFonts w:ascii="BMFChange" w:eastAsia="Times New Roman" w:hAnsi="BMFChange" w:cs="BMFChange-Regular"/>
          <w:color w:val="000000"/>
          <w:szCs w:val="24"/>
        </w:rPr>
        <w:t>se</w:t>
      </w:r>
      <w:r w:rsidR="001F7450" w:rsidRPr="001F7450">
        <w:rPr>
          <w:rFonts w:ascii="BMFChange" w:eastAsia="Times New Roman" w:hAnsi="BMFChange" w:cs="BMFChange-Regular"/>
          <w:color w:val="000000"/>
          <w:szCs w:val="24"/>
          <w:lang w:val="x-none"/>
        </w:rPr>
        <w:t xml:space="preserve"> Bereiche </w:t>
      </w:r>
      <w:r w:rsidR="008446DE">
        <w:rPr>
          <w:rFonts w:ascii="BMFChange" w:eastAsia="Times New Roman" w:hAnsi="BMFChange" w:cs="BMFChange-Regular"/>
          <w:color w:val="000000"/>
          <w:szCs w:val="24"/>
        </w:rPr>
        <w:t xml:space="preserve">sowie für die </w:t>
      </w:r>
      <w:r w:rsidR="003D43F0">
        <w:rPr>
          <w:rFonts w:ascii="BMFChange" w:eastAsia="Times New Roman" w:hAnsi="BMFChange" w:cs="BMFChange-Regular"/>
          <w:color w:val="000000"/>
          <w:szCs w:val="24"/>
        </w:rPr>
        <w:t xml:space="preserve">Kulisse des Fördergebiets „Nachhaltige Erneuerung“ </w:t>
      </w:r>
      <w:r w:rsidR="001F7450" w:rsidRPr="001F7450">
        <w:rPr>
          <w:rFonts w:ascii="BMFChange" w:eastAsia="Times New Roman" w:hAnsi="BMFChange" w:cs="BMFChange-Regular"/>
          <w:color w:val="000000"/>
          <w:szCs w:val="24"/>
          <w:lang w:val="x-none"/>
        </w:rPr>
        <w:t>folgende Empfehlungen zum weiteren Verfahren:</w:t>
      </w:r>
    </w:p>
    <w:p w14:paraId="6BB83D1C" w14:textId="240C778F" w:rsidR="001F7450" w:rsidRPr="001F7450" w:rsidRDefault="00F83548" w:rsidP="001F7450">
      <w:pPr>
        <w:autoSpaceDE w:val="0"/>
        <w:autoSpaceDN w:val="0"/>
        <w:adjustRightInd w:val="0"/>
        <w:snapToGrid w:val="0"/>
        <w:spacing w:after="200" w:line="240" w:lineRule="auto"/>
        <w:rPr>
          <w:rFonts w:ascii="BMFChange" w:eastAsia="Times New Roman" w:hAnsi="BMFChange" w:cs="BMFChange-Bold"/>
          <w:b/>
          <w:color w:val="000000"/>
          <w:sz w:val="24"/>
          <w:szCs w:val="24"/>
          <w:lang w:val="x-none"/>
        </w:rPr>
      </w:pPr>
      <w:r>
        <w:rPr>
          <w:rFonts w:ascii="BMFChange" w:eastAsia="Times New Roman" w:hAnsi="BMFChange" w:cs="BMFChange-Bold"/>
          <w:b/>
          <w:color w:val="000000"/>
          <w:sz w:val="24"/>
          <w:szCs w:val="24"/>
        </w:rPr>
        <w:t>Sanierungsgebiet</w:t>
      </w:r>
    </w:p>
    <w:p w14:paraId="22FA3268" w14:textId="4F5EE284" w:rsidR="0065081F" w:rsidRDefault="00F83548" w:rsidP="0065081F">
      <w:pPr>
        <w:autoSpaceDE w:val="0"/>
        <w:autoSpaceDN w:val="0"/>
        <w:adjustRightInd w:val="0"/>
        <w:snapToGrid w:val="0"/>
        <w:spacing w:after="200" w:line="240" w:lineRule="auto"/>
        <w:rPr>
          <w:rFonts w:ascii="BMFChange" w:eastAsia="Times New Roman" w:hAnsi="BMFChange" w:cs="BMFChange-Regular"/>
          <w:color w:val="000000"/>
          <w:szCs w:val="24"/>
        </w:rPr>
      </w:pPr>
      <w:r w:rsidRPr="004160EA">
        <w:rPr>
          <w:rFonts w:ascii="BMFChange" w:eastAsia="Times New Roman" w:hAnsi="BMFChange" w:cs="BMFChange-Regular"/>
          <w:color w:val="000000"/>
          <w:szCs w:val="24"/>
        </w:rPr>
        <w:t>Obwohl auf einzelnen Grundstücken bereits</w:t>
      </w:r>
      <w:r w:rsidR="009475E9" w:rsidRPr="004160EA">
        <w:rPr>
          <w:rFonts w:ascii="BMFChange" w:eastAsia="Times New Roman" w:hAnsi="BMFChange" w:cs="BMFChange-Regular"/>
          <w:color w:val="000000"/>
          <w:szCs w:val="24"/>
        </w:rPr>
        <w:t xml:space="preserve"> viel</w:t>
      </w:r>
      <w:r w:rsidRPr="004160EA">
        <w:rPr>
          <w:rFonts w:ascii="BMFChange" w:eastAsia="Times New Roman" w:hAnsi="BMFChange" w:cs="BMFChange-Regular"/>
          <w:color w:val="000000"/>
          <w:szCs w:val="24"/>
        </w:rPr>
        <w:t xml:space="preserve"> erreicht wurde, ist eine Verlängerung der gesamten Sanierungsgebietskulisse um weitere 5 Jahre notwendig, </w:t>
      </w:r>
      <w:r w:rsidR="00DC208A" w:rsidRPr="004160EA">
        <w:rPr>
          <w:rFonts w:ascii="BMFChange" w:eastAsia="Times New Roman" w:hAnsi="BMFChange" w:cs="BMFChange-Regular"/>
          <w:color w:val="000000"/>
          <w:szCs w:val="24"/>
        </w:rPr>
        <w:t xml:space="preserve">um die </w:t>
      </w:r>
      <w:r w:rsidR="000069C7" w:rsidRPr="004160EA">
        <w:rPr>
          <w:rFonts w:ascii="BMFChange" w:eastAsia="Times New Roman" w:hAnsi="BMFChange" w:cs="BMFChange-Regular"/>
          <w:color w:val="000000"/>
          <w:szCs w:val="24"/>
        </w:rPr>
        <w:t>noch nicht umgesetzten</w:t>
      </w:r>
      <w:r w:rsidRPr="004160EA">
        <w:rPr>
          <w:rFonts w:ascii="BMFChange" w:eastAsia="Times New Roman" w:hAnsi="BMFChange" w:cs="BMFChange-Regular"/>
          <w:color w:val="000000"/>
          <w:szCs w:val="24"/>
        </w:rPr>
        <w:t xml:space="preserve"> </w:t>
      </w:r>
      <w:r w:rsidR="00DC208A" w:rsidRPr="004160EA">
        <w:rPr>
          <w:rFonts w:ascii="BMFChange" w:eastAsia="Times New Roman" w:hAnsi="BMFChange" w:cs="BMFChange-Regular"/>
          <w:color w:val="000000"/>
          <w:szCs w:val="24"/>
        </w:rPr>
        <w:t>Sanierungsziele zu sichern.</w:t>
      </w:r>
      <w:r w:rsidR="0065081F">
        <w:rPr>
          <w:rFonts w:ascii="BMFChange" w:eastAsia="Times New Roman" w:hAnsi="BMFChange" w:cs="BMFChange-Regular"/>
          <w:color w:val="000000"/>
          <w:szCs w:val="24"/>
        </w:rPr>
        <w:t xml:space="preserve"> </w:t>
      </w:r>
    </w:p>
    <w:p w14:paraId="60426A07" w14:textId="29D5846E" w:rsidR="00410C33" w:rsidRDefault="000069C7" w:rsidP="0065081F">
      <w:pPr>
        <w:autoSpaceDE w:val="0"/>
        <w:autoSpaceDN w:val="0"/>
        <w:adjustRightInd w:val="0"/>
        <w:snapToGrid w:val="0"/>
        <w:spacing w:after="200" w:line="240" w:lineRule="auto"/>
        <w:rPr>
          <w:rFonts w:ascii="BMFChange" w:eastAsia="Times New Roman" w:hAnsi="BMFChange" w:cs="BMFChange-Regular"/>
          <w:color w:val="000000"/>
          <w:szCs w:val="24"/>
          <w:lang w:val="x-none"/>
        </w:rPr>
      </w:pPr>
      <w:r>
        <w:rPr>
          <w:rFonts w:ascii="BMFChange" w:eastAsia="Times New Roman" w:hAnsi="BMFChange" w:cs="BMFChange-Regular"/>
          <w:color w:val="000000"/>
          <w:szCs w:val="24"/>
        </w:rPr>
        <w:t>Der</w:t>
      </w:r>
      <w:r w:rsidR="00410C33" w:rsidRPr="001F7450">
        <w:rPr>
          <w:rFonts w:ascii="BMFChange" w:eastAsia="Times New Roman" w:hAnsi="BMFChange" w:cs="BMFChange-Regular"/>
          <w:color w:val="000000"/>
          <w:szCs w:val="24"/>
          <w:lang w:val="x-none"/>
        </w:rPr>
        <w:t xml:space="preserve"> Bereich </w:t>
      </w:r>
      <w:r w:rsidR="00410C33">
        <w:rPr>
          <w:rFonts w:ascii="BMFChange" w:eastAsia="Times New Roman" w:hAnsi="BMFChange" w:cs="BMFChange-Regular"/>
          <w:color w:val="000000"/>
          <w:szCs w:val="24"/>
        </w:rPr>
        <w:t>um den Bahnhof Lichtenberg</w:t>
      </w:r>
      <w:r w:rsidR="0065081F">
        <w:rPr>
          <w:rFonts w:ascii="BMFChange" w:eastAsia="Times New Roman" w:hAnsi="BMFChange" w:cs="BMFChange-Regular"/>
          <w:color w:val="000000"/>
          <w:szCs w:val="24"/>
        </w:rPr>
        <w:t xml:space="preserve">, </w:t>
      </w:r>
      <w:r>
        <w:rPr>
          <w:rFonts w:ascii="BMFChange" w:eastAsia="Times New Roman" w:hAnsi="BMFChange" w:cs="BMFChange-Regular"/>
          <w:color w:val="000000"/>
          <w:szCs w:val="24"/>
        </w:rPr>
        <w:t>erfährt</w:t>
      </w:r>
      <w:r w:rsidR="00410C33">
        <w:rPr>
          <w:rFonts w:ascii="BMFChange" w:eastAsia="Times New Roman" w:hAnsi="BMFChange" w:cs="BMFChange-Regular"/>
          <w:color w:val="000000"/>
          <w:szCs w:val="24"/>
        </w:rPr>
        <w:t xml:space="preserve"> </w:t>
      </w:r>
      <w:r w:rsidR="0065081F">
        <w:rPr>
          <w:rFonts w:ascii="BMFChange" w:eastAsia="Times New Roman" w:hAnsi="BMFChange" w:cs="BMFChange-Regular"/>
          <w:color w:val="000000"/>
          <w:szCs w:val="24"/>
        </w:rPr>
        <w:t xml:space="preserve">derzeit </w:t>
      </w:r>
      <w:r w:rsidR="00410C33" w:rsidRPr="001F7450">
        <w:rPr>
          <w:rFonts w:ascii="BMFChange" w:eastAsia="Times New Roman" w:hAnsi="BMFChange" w:cs="BMFChange-Regular"/>
          <w:color w:val="000000"/>
          <w:szCs w:val="24"/>
          <w:lang w:val="x-none"/>
        </w:rPr>
        <w:t>ein „Trading down“ durch die Ansiedlung von Wettannahmestellen und Spiel</w:t>
      </w:r>
      <w:r w:rsidR="00410C33">
        <w:rPr>
          <w:rFonts w:ascii="BMFChange" w:eastAsia="Times New Roman" w:hAnsi="BMFChange" w:cs="BMFChange-Regular"/>
          <w:color w:val="000000"/>
          <w:szCs w:val="24"/>
        </w:rPr>
        <w:t>casinos</w:t>
      </w:r>
      <w:r w:rsidR="00410C33" w:rsidRPr="001F7450">
        <w:rPr>
          <w:rFonts w:ascii="BMFChange" w:eastAsia="Times New Roman" w:hAnsi="BMFChange" w:cs="BMFChange-Regular"/>
          <w:color w:val="000000"/>
          <w:szCs w:val="24"/>
          <w:lang w:val="x-none"/>
        </w:rPr>
        <w:t xml:space="preserve">. Um </w:t>
      </w:r>
      <w:r w:rsidR="00410C33">
        <w:rPr>
          <w:rFonts w:ascii="BMFChange" w:eastAsia="Times New Roman" w:hAnsi="BMFChange" w:cs="BMFChange-Regular"/>
          <w:color w:val="000000"/>
          <w:szCs w:val="24"/>
        </w:rPr>
        <w:t>diesem Effekt</w:t>
      </w:r>
      <w:r>
        <w:rPr>
          <w:rFonts w:ascii="BMFChange" w:eastAsia="Times New Roman" w:hAnsi="BMFChange" w:cs="BMFChange-Regular"/>
          <w:color w:val="000000"/>
          <w:szCs w:val="24"/>
        </w:rPr>
        <w:t>, der die Sanierungsziele an dieser Stelle konterkariert,</w:t>
      </w:r>
      <w:r w:rsidR="00410C33" w:rsidRPr="001F7450">
        <w:rPr>
          <w:rFonts w:ascii="BMFChange" w:eastAsia="Times New Roman" w:hAnsi="BMFChange" w:cs="BMFChange-Regular"/>
          <w:color w:val="000000"/>
          <w:szCs w:val="24"/>
          <w:lang w:val="x-none"/>
        </w:rPr>
        <w:t xml:space="preserve"> entgegenzuwirken ist die Aufstellung eines Bebauungsplans </w:t>
      </w:r>
      <w:r w:rsidR="00410C33">
        <w:rPr>
          <w:rFonts w:ascii="BMFChange" w:eastAsia="Times New Roman" w:hAnsi="BMFChange" w:cs="BMFChange-Regular"/>
          <w:color w:val="000000"/>
          <w:szCs w:val="24"/>
        </w:rPr>
        <w:t>beabsichtigt</w:t>
      </w:r>
      <w:r w:rsidR="00410C33" w:rsidRPr="001F7450">
        <w:rPr>
          <w:rFonts w:ascii="BMFChange" w:eastAsia="Times New Roman" w:hAnsi="BMFChange" w:cs="BMFChange-Regular"/>
          <w:color w:val="000000"/>
          <w:szCs w:val="24"/>
          <w:lang w:val="x-none"/>
        </w:rPr>
        <w:t>, der hier Vergnügungsstätten ausschließ</w:t>
      </w:r>
      <w:r w:rsidR="00410C33">
        <w:rPr>
          <w:rFonts w:ascii="BMFChange" w:eastAsia="Times New Roman" w:hAnsi="BMFChange" w:cs="BMFChange-Regular"/>
          <w:color w:val="000000"/>
          <w:szCs w:val="24"/>
        </w:rPr>
        <w:t>t</w:t>
      </w:r>
      <w:r w:rsidR="00410C33" w:rsidRPr="001F7450">
        <w:rPr>
          <w:rFonts w:ascii="BMFChange" w:eastAsia="Times New Roman" w:hAnsi="BMFChange" w:cs="BMFChange-Regular"/>
          <w:color w:val="000000"/>
          <w:szCs w:val="24"/>
          <w:lang w:val="x-none"/>
        </w:rPr>
        <w:t xml:space="preserve">. Bis </w:t>
      </w:r>
      <w:r w:rsidR="00410C33">
        <w:rPr>
          <w:rFonts w:ascii="BMFChange" w:eastAsia="Times New Roman" w:hAnsi="BMFChange" w:cs="BMFChange-Regular"/>
          <w:color w:val="000000"/>
          <w:szCs w:val="24"/>
        </w:rPr>
        <w:t>zur Aufstellung</w:t>
      </w:r>
      <w:r w:rsidR="00410C33" w:rsidRPr="001F7450">
        <w:rPr>
          <w:rFonts w:ascii="BMFChange" w:eastAsia="Times New Roman" w:hAnsi="BMFChange" w:cs="BMFChange-Regular"/>
          <w:color w:val="000000"/>
          <w:szCs w:val="24"/>
          <w:lang w:val="x-none"/>
        </w:rPr>
        <w:t xml:space="preserve"> ist</w:t>
      </w:r>
      <w:r w:rsidR="00410C33">
        <w:rPr>
          <w:rFonts w:ascii="BMFChange" w:eastAsia="Times New Roman" w:hAnsi="BMFChange" w:cs="BMFChange-Regular"/>
          <w:color w:val="000000"/>
          <w:szCs w:val="24"/>
        </w:rPr>
        <w:t xml:space="preserve"> in diesem Bereich</w:t>
      </w:r>
      <w:r w:rsidR="00410C33" w:rsidRPr="001F7450">
        <w:rPr>
          <w:rFonts w:ascii="BMFChange" w:eastAsia="Times New Roman" w:hAnsi="BMFChange" w:cs="BMFChange-Regular"/>
          <w:color w:val="000000"/>
          <w:szCs w:val="24"/>
          <w:lang w:val="x-none"/>
        </w:rPr>
        <w:t xml:space="preserve"> das Sanierungsrecht notwendig, um eine </w:t>
      </w:r>
      <w:r w:rsidR="00410C33">
        <w:rPr>
          <w:rFonts w:ascii="BMFChange" w:eastAsia="Times New Roman" w:hAnsi="BMFChange" w:cs="BMFChange-Regular"/>
          <w:color w:val="000000"/>
          <w:szCs w:val="24"/>
        </w:rPr>
        <w:t xml:space="preserve">weitere </w:t>
      </w:r>
      <w:r w:rsidR="00410C33" w:rsidRPr="00FD2968">
        <w:rPr>
          <w:rFonts w:ascii="BMFChange" w:eastAsia="Times New Roman" w:hAnsi="BMFChange" w:cs="BMFChange-Regular"/>
          <w:color w:val="000000"/>
          <w:szCs w:val="24"/>
          <w:lang w:val="x-none"/>
        </w:rPr>
        <w:t>Konzentration von Vergnügungsstätten</w:t>
      </w:r>
      <w:r w:rsidR="00410C33" w:rsidRPr="00FD2968" w:rsidDel="00FD2968">
        <w:rPr>
          <w:rFonts w:ascii="BMFChange" w:eastAsia="Times New Roman" w:hAnsi="BMFChange" w:cs="BMFChange-Regular"/>
          <w:color w:val="000000"/>
          <w:szCs w:val="24"/>
          <w:lang w:val="x-none"/>
        </w:rPr>
        <w:t xml:space="preserve"> </w:t>
      </w:r>
      <w:r w:rsidR="00410C33" w:rsidRPr="001F7450">
        <w:rPr>
          <w:rFonts w:ascii="BMFChange" w:eastAsia="Times New Roman" w:hAnsi="BMFChange" w:cs="BMFChange-Regular"/>
          <w:color w:val="000000"/>
          <w:szCs w:val="24"/>
          <w:lang w:val="x-none"/>
        </w:rPr>
        <w:t>zu verhindern.</w:t>
      </w:r>
    </w:p>
    <w:p w14:paraId="01449A32" w14:textId="49201B64" w:rsidR="005516BB" w:rsidRDefault="005516BB" w:rsidP="005516BB">
      <w:pPr>
        <w:autoSpaceDE w:val="0"/>
        <w:autoSpaceDN w:val="0"/>
        <w:adjustRightInd w:val="0"/>
        <w:snapToGrid w:val="0"/>
        <w:spacing w:after="200" w:line="240" w:lineRule="auto"/>
        <w:rPr>
          <w:rFonts w:ascii="BMFChange" w:eastAsia="Times New Roman" w:hAnsi="BMFChange" w:cs="BMFChange-Regular"/>
          <w:color w:val="000000"/>
          <w:szCs w:val="24"/>
          <w:lang w:val="x-none"/>
        </w:rPr>
      </w:pPr>
      <w:r w:rsidRPr="005516BB">
        <w:rPr>
          <w:rFonts w:ascii="BMFChange" w:eastAsia="Times New Roman" w:hAnsi="BMFChange" w:cs="BMFChange-Regular"/>
          <w:color w:val="000000"/>
          <w:szCs w:val="24"/>
          <w:lang w:val="x-none"/>
        </w:rPr>
        <w:t>Dazu ist insbesondere der Einsatz des Genehmigungsvorbehalts (§ 144 Abs. 1 und 2 BauGB) erforderlich, bis ein B-Plan zur Verhinderung von entsprechenden Nutzungen in Kraft gesetzt werden kann. Hierfür wird erfahrungsgemäß ein Zeitraum von etwa drei Jahren benötigt. Zudem sind bereits mehrere gerichtliche Verfahren gegen die Versagung entsprechender Sanierungsgenehmigungen rechtshängig, die infolge der Aufhebung des Sanierungsgebiets verloren gehen würden. Die versagten Nutzungsänderungen wären dann ohne Weiteres zuzulassen.</w:t>
      </w:r>
    </w:p>
    <w:p w14:paraId="217930E8" w14:textId="4595BA23" w:rsidR="001F7450" w:rsidRDefault="0065081F"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r>
        <w:rPr>
          <w:rFonts w:ascii="BMFChange" w:eastAsia="Times New Roman" w:hAnsi="BMFChange" w:cs="BMFChange-Regular"/>
          <w:color w:val="000000"/>
          <w:szCs w:val="24"/>
        </w:rPr>
        <w:t>Auch i</w:t>
      </w:r>
      <w:r w:rsidR="001F7450" w:rsidRPr="001D2A20">
        <w:rPr>
          <w:rFonts w:ascii="BMFChange" w:eastAsia="Times New Roman" w:hAnsi="BMFChange" w:cs="BMFChange-Regular"/>
          <w:color w:val="000000"/>
          <w:szCs w:val="24"/>
          <w:lang w:val="x-none"/>
        </w:rPr>
        <w:t xml:space="preserve">m Bereich des ehemaligen MfS-Areals </w:t>
      </w:r>
      <w:r w:rsidRPr="001D2A20">
        <w:rPr>
          <w:rFonts w:ascii="BMFChange" w:eastAsia="Times New Roman" w:hAnsi="BMFChange" w:cs="BMFChange-Regular"/>
          <w:color w:val="000000"/>
          <w:szCs w:val="24"/>
        </w:rPr>
        <w:t xml:space="preserve">(Block 40) </w:t>
      </w:r>
      <w:r w:rsidRPr="001D2A20">
        <w:rPr>
          <w:rFonts w:ascii="BMFChange" w:eastAsia="Times New Roman" w:hAnsi="BMFChange" w:cs="BMFChange-Regular"/>
          <w:color w:val="000000"/>
          <w:szCs w:val="24"/>
          <w:lang w:val="x-none"/>
        </w:rPr>
        <w:t>sind die Sanierungsziele noch nicht erreicht.</w:t>
      </w:r>
      <w:r>
        <w:rPr>
          <w:rFonts w:ascii="BMFChange" w:eastAsia="Times New Roman" w:hAnsi="BMFChange" w:cs="BMFChange-Regular"/>
          <w:color w:val="000000"/>
          <w:szCs w:val="24"/>
        </w:rPr>
        <w:t xml:space="preserve"> Hier </w:t>
      </w:r>
      <w:r w:rsidR="001F7450" w:rsidRPr="001D2A20">
        <w:rPr>
          <w:rFonts w:ascii="BMFChange" w:eastAsia="Times New Roman" w:hAnsi="BMFChange" w:cs="BMFChange-Regular"/>
          <w:color w:val="000000"/>
          <w:szCs w:val="24"/>
          <w:lang w:val="x-none"/>
        </w:rPr>
        <w:t>gibt es nach wie vor großen Leerstand sowie Modernisierungs- und Instandsetzungsbedarf. Eine öffentliche verkehrliche Erschließung des Blockinnenbereichs und eine ökologische Freiraumgestaltung fehlen.</w:t>
      </w:r>
      <w:r>
        <w:rPr>
          <w:rFonts w:ascii="BMFChange" w:eastAsia="Times New Roman" w:hAnsi="BMFChange" w:cs="BMFChange-Regular"/>
          <w:color w:val="000000"/>
          <w:szCs w:val="24"/>
        </w:rPr>
        <w:t xml:space="preserve"> </w:t>
      </w:r>
      <w:r w:rsidR="001F7450" w:rsidRPr="001D2A20">
        <w:rPr>
          <w:rFonts w:ascii="BMFChange" w:eastAsia="Times New Roman" w:hAnsi="BMFChange" w:cs="BMFChange-Regular"/>
          <w:color w:val="000000"/>
          <w:szCs w:val="24"/>
          <w:lang w:val="x-none"/>
        </w:rPr>
        <w:t>Außerdem müssen die Sanierungsziele an aktuelle Planungen (Archivzentrum des Bundesarchives; Forum Opposition und Widerstand) angepasst werden.</w:t>
      </w:r>
      <w:r w:rsidR="000069C7">
        <w:rPr>
          <w:rStyle w:val="Funotenzeichen"/>
          <w:rFonts w:ascii="BMFChange" w:eastAsia="Times New Roman" w:hAnsi="BMFChange" w:cs="BMFChange-Regular"/>
          <w:color w:val="000000"/>
          <w:szCs w:val="24"/>
          <w:lang w:val="x-none"/>
        </w:rPr>
        <w:footnoteReference w:id="1"/>
      </w:r>
    </w:p>
    <w:p w14:paraId="1F312B5F" w14:textId="2AA4786D" w:rsidR="00BA1452" w:rsidRDefault="0065081F"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r w:rsidRPr="001D2A20">
        <w:rPr>
          <w:rFonts w:ascii="BMFChange" w:eastAsia="Times New Roman" w:hAnsi="BMFChange" w:cs="BMFChange-Regular"/>
          <w:color w:val="000000"/>
          <w:szCs w:val="24"/>
          <w:lang w:val="x-none"/>
        </w:rPr>
        <w:t xml:space="preserve">Zur langfristigen Festschreibung der Sanierungsziele in diesem Bereich </w:t>
      </w:r>
      <w:r>
        <w:rPr>
          <w:rFonts w:ascii="BMFChange" w:eastAsia="Times New Roman" w:hAnsi="BMFChange" w:cs="BMFChange-Regular"/>
          <w:color w:val="000000"/>
          <w:szCs w:val="24"/>
        </w:rPr>
        <w:t>ist</w:t>
      </w:r>
      <w:r w:rsidRPr="001D2A20">
        <w:rPr>
          <w:rFonts w:ascii="BMFChange" w:eastAsia="Times New Roman" w:hAnsi="BMFChange" w:cs="BMFChange-Regular"/>
          <w:color w:val="000000"/>
          <w:szCs w:val="24"/>
          <w:lang w:val="x-none"/>
        </w:rPr>
        <w:t xml:space="preserve"> das Bebauungsplanverfahren 11-80</w:t>
      </w:r>
      <w:r w:rsidRPr="001D2A20">
        <w:rPr>
          <w:rFonts w:ascii="BMFChange" w:eastAsia="Times New Roman" w:hAnsi="BMFChange" w:cs="BMFChange-Regular"/>
          <w:color w:val="000000"/>
          <w:szCs w:val="24"/>
        </w:rPr>
        <w:t xml:space="preserve"> </w:t>
      </w:r>
      <w:r w:rsidRPr="001D2A20">
        <w:rPr>
          <w:rFonts w:ascii="BMFChange" w:eastAsia="Times New Roman" w:hAnsi="BMFChange" w:cs="BMFChange-Regular"/>
          <w:color w:val="000000"/>
          <w:szCs w:val="24"/>
          <w:lang w:val="x-none"/>
        </w:rPr>
        <w:t>weiter</w:t>
      </w:r>
      <w:r>
        <w:rPr>
          <w:rFonts w:ascii="BMFChange" w:eastAsia="Times New Roman" w:hAnsi="BMFChange" w:cs="BMFChange-Regular"/>
          <w:color w:val="000000"/>
          <w:szCs w:val="24"/>
        </w:rPr>
        <w:t xml:space="preserve"> zu betreiben</w:t>
      </w:r>
      <w:r w:rsidRPr="001D2A20">
        <w:rPr>
          <w:rFonts w:ascii="BMFChange" w:eastAsia="Times New Roman" w:hAnsi="BMFChange" w:cs="BMFChange-Regular"/>
          <w:color w:val="000000"/>
          <w:szCs w:val="24"/>
          <w:lang w:val="x-none"/>
        </w:rPr>
        <w:t xml:space="preserve">. </w:t>
      </w:r>
    </w:p>
    <w:p w14:paraId="02ACB442" w14:textId="368C0678" w:rsidR="00AB4113" w:rsidRDefault="00AB4113"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p>
    <w:p w14:paraId="34E0EFCE" w14:textId="345C83E2" w:rsidR="00AB4113" w:rsidRDefault="00AB4113"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p>
    <w:p w14:paraId="5C3C4AF8" w14:textId="0DB188E5" w:rsidR="00AB4113" w:rsidRPr="000069C7" w:rsidRDefault="00AB4113"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r>
        <w:rPr>
          <w:rFonts w:ascii="BMFChange" w:eastAsia="Times New Roman" w:hAnsi="BMFChange" w:cs="BMFChange-Regular"/>
          <w:noProof/>
          <w:color w:val="000000"/>
          <w:szCs w:val="24"/>
          <w:lang w:val="x-none"/>
        </w:rPr>
        <w:drawing>
          <wp:inline distT="0" distB="0" distL="0" distR="0" wp14:anchorId="6EDD738F" wp14:editId="42626DC2">
            <wp:extent cx="5972810" cy="4220914"/>
            <wp:effectExtent l="0" t="0" r="889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6_Sanierungsinseln_komplet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4220914"/>
                    </a:xfrm>
                    <a:prstGeom prst="rect">
                      <a:avLst/>
                    </a:prstGeom>
                  </pic:spPr>
                </pic:pic>
              </a:graphicData>
            </a:graphic>
          </wp:inline>
        </w:drawing>
      </w:r>
    </w:p>
    <w:p w14:paraId="1B68E3F5" w14:textId="08BC8B12" w:rsidR="001F7450" w:rsidRPr="003D43F0" w:rsidRDefault="001F7450" w:rsidP="00BA1452">
      <w:pPr>
        <w:autoSpaceDE w:val="0"/>
        <w:autoSpaceDN w:val="0"/>
        <w:adjustRightInd w:val="0"/>
        <w:snapToGrid w:val="0"/>
        <w:spacing w:before="240" w:after="200" w:line="240" w:lineRule="auto"/>
        <w:rPr>
          <w:rFonts w:ascii="BMFChange" w:eastAsia="Times New Roman" w:hAnsi="BMFChange" w:cs="BMFChange-Bold"/>
          <w:b/>
          <w:color w:val="000000"/>
          <w:sz w:val="24"/>
          <w:szCs w:val="24"/>
        </w:rPr>
      </w:pPr>
      <w:r w:rsidRPr="001F7450">
        <w:rPr>
          <w:rFonts w:ascii="BMFChange" w:eastAsia="Times New Roman" w:hAnsi="BMFChange" w:cs="BMFChange-Bold"/>
          <w:b/>
          <w:color w:val="000000"/>
          <w:sz w:val="24"/>
          <w:szCs w:val="24"/>
          <w:lang w:val="x-none"/>
        </w:rPr>
        <w:t xml:space="preserve">Förderkulisse </w:t>
      </w:r>
      <w:r w:rsidR="003D43F0">
        <w:rPr>
          <w:rFonts w:ascii="BMFChange" w:eastAsia="Times New Roman" w:hAnsi="BMFChange" w:cs="BMFChange-Bold"/>
          <w:b/>
          <w:color w:val="000000"/>
          <w:sz w:val="24"/>
          <w:szCs w:val="24"/>
        </w:rPr>
        <w:t>“N</w:t>
      </w:r>
      <w:r w:rsidR="004160EA">
        <w:rPr>
          <w:rFonts w:ascii="BMFChange" w:eastAsia="Times New Roman" w:hAnsi="BMFChange" w:cs="BMFChange-Bold"/>
          <w:b/>
          <w:color w:val="000000"/>
          <w:sz w:val="24"/>
          <w:szCs w:val="24"/>
        </w:rPr>
        <w:t>achhaltige</w:t>
      </w:r>
      <w:r w:rsidRPr="001F7450">
        <w:rPr>
          <w:rFonts w:ascii="BMFChange" w:eastAsia="Times New Roman" w:hAnsi="BMFChange" w:cs="BMFChange-Bold"/>
          <w:b/>
          <w:color w:val="000000"/>
          <w:sz w:val="24"/>
          <w:szCs w:val="24"/>
          <w:lang w:val="x-none"/>
        </w:rPr>
        <w:t xml:space="preserve"> Erneuerung</w:t>
      </w:r>
      <w:r w:rsidR="003D43F0">
        <w:rPr>
          <w:rFonts w:ascii="BMFChange" w:eastAsia="Times New Roman" w:hAnsi="BMFChange" w:cs="BMFChange-Bold"/>
          <w:b/>
          <w:color w:val="000000"/>
          <w:sz w:val="24"/>
          <w:szCs w:val="24"/>
        </w:rPr>
        <w:t>“</w:t>
      </w:r>
    </w:p>
    <w:p w14:paraId="726B4926" w14:textId="2D158F15" w:rsidR="00BA1452" w:rsidRPr="000045F2" w:rsidRDefault="001F7450"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r w:rsidRPr="001F7450">
        <w:rPr>
          <w:rFonts w:ascii="BMFChange" w:eastAsia="Times New Roman" w:hAnsi="BMFChange" w:cs="BMFChange-Regular"/>
          <w:color w:val="000000"/>
          <w:szCs w:val="24"/>
          <w:lang w:val="x-none"/>
        </w:rPr>
        <w:t xml:space="preserve">Zur Umsetzung der Sanierungsziele im öffentlichen Raum und zur weiteren Verbesserung der sozialen Infrastruktur sind parallel zum Fortbestand des Sanierungsgebiets auch weiterhin Städtebaufördermittel notwendig. Deshalb </w:t>
      </w:r>
      <w:r w:rsidR="00640B4E">
        <w:rPr>
          <w:rFonts w:ascii="BMFChange" w:eastAsia="Times New Roman" w:hAnsi="BMFChange" w:cs="BMFChange-Regular"/>
          <w:color w:val="000000"/>
          <w:szCs w:val="24"/>
        </w:rPr>
        <w:t>ist</w:t>
      </w:r>
      <w:r w:rsidRPr="001F7450">
        <w:rPr>
          <w:rFonts w:ascii="BMFChange" w:eastAsia="Times New Roman" w:hAnsi="BMFChange" w:cs="BMFChange-Regular"/>
          <w:color w:val="000000"/>
          <w:szCs w:val="24"/>
          <w:lang w:val="x-none"/>
        </w:rPr>
        <w:t xml:space="preserve"> die Kulisse „</w:t>
      </w:r>
      <w:r w:rsidR="003D43F0">
        <w:rPr>
          <w:rFonts w:ascii="BMFChange" w:eastAsia="Times New Roman" w:hAnsi="BMFChange" w:cs="BMFChange-Regular"/>
          <w:color w:val="000000"/>
          <w:szCs w:val="24"/>
        </w:rPr>
        <w:t>N</w:t>
      </w:r>
      <w:proofErr w:type="spellStart"/>
      <w:r w:rsidRPr="001F7450">
        <w:rPr>
          <w:rFonts w:ascii="BMFChange" w:eastAsia="Times New Roman" w:hAnsi="BMFChange" w:cs="BMFChange-Regular"/>
          <w:color w:val="000000"/>
          <w:szCs w:val="24"/>
          <w:lang w:val="x-none"/>
        </w:rPr>
        <w:t>achhaltige</w:t>
      </w:r>
      <w:proofErr w:type="spellEnd"/>
      <w:r w:rsidRPr="001F7450">
        <w:rPr>
          <w:rFonts w:ascii="BMFChange" w:eastAsia="Times New Roman" w:hAnsi="BMFChange" w:cs="BMFChange-Regular"/>
          <w:color w:val="000000"/>
          <w:szCs w:val="24"/>
          <w:lang w:val="x-none"/>
        </w:rPr>
        <w:t xml:space="preserve"> Erneuerung“ (bisher Stadtumbau Ost) um den gleichen Zeitraum </w:t>
      </w:r>
      <w:r w:rsidR="00640B4E" w:rsidRPr="001F7450">
        <w:rPr>
          <w:rFonts w:ascii="BMFChange" w:eastAsia="Times New Roman" w:hAnsi="BMFChange" w:cs="BMFChange-Regular"/>
          <w:color w:val="000000"/>
          <w:szCs w:val="24"/>
          <w:lang w:val="x-none"/>
        </w:rPr>
        <w:t>weiter</w:t>
      </w:r>
      <w:r w:rsidR="00640B4E">
        <w:rPr>
          <w:rFonts w:ascii="BMFChange" w:eastAsia="Times New Roman" w:hAnsi="BMFChange" w:cs="BMFChange-Regular"/>
          <w:color w:val="000000"/>
          <w:szCs w:val="24"/>
        </w:rPr>
        <w:t>zuführen</w:t>
      </w:r>
      <w:r w:rsidRPr="001F7450">
        <w:rPr>
          <w:rFonts w:ascii="BMFChange" w:eastAsia="Times New Roman" w:hAnsi="BMFChange" w:cs="BMFChange-Regular"/>
          <w:color w:val="000000"/>
          <w:szCs w:val="24"/>
          <w:lang w:val="x-none"/>
        </w:rPr>
        <w:t xml:space="preserve">, wie das Sanierungsgebiet. Dabei </w:t>
      </w:r>
      <w:r w:rsidR="00640B4E">
        <w:rPr>
          <w:rFonts w:ascii="BMFChange" w:eastAsia="Times New Roman" w:hAnsi="BMFChange" w:cs="BMFChange-Regular"/>
          <w:color w:val="000000"/>
          <w:szCs w:val="24"/>
        </w:rPr>
        <w:t>ist</w:t>
      </w:r>
      <w:r w:rsidRPr="001F7450">
        <w:rPr>
          <w:rFonts w:ascii="BMFChange" w:eastAsia="Times New Roman" w:hAnsi="BMFChange" w:cs="BMFChange-Regular"/>
          <w:color w:val="000000"/>
          <w:szCs w:val="24"/>
          <w:lang w:val="x-none"/>
        </w:rPr>
        <w:t xml:space="preserve"> die Förderkulisse um das Grundstück Gotlindestraße gegenüber Nummern 29-35 (Flurstück 111) </w:t>
      </w:r>
      <w:r w:rsidR="00640B4E">
        <w:rPr>
          <w:rFonts w:ascii="BMFChange" w:eastAsia="Times New Roman" w:hAnsi="BMFChange" w:cs="BMFChange-Regular"/>
          <w:color w:val="000000"/>
          <w:szCs w:val="24"/>
        </w:rPr>
        <w:t xml:space="preserve">zu </w:t>
      </w:r>
      <w:r w:rsidRPr="001F7450">
        <w:rPr>
          <w:rFonts w:ascii="BMFChange" w:eastAsia="Times New Roman" w:hAnsi="BMFChange" w:cs="BMFChange-Regular"/>
          <w:color w:val="000000"/>
          <w:szCs w:val="24"/>
          <w:lang w:val="x-none"/>
        </w:rPr>
        <w:t>erweiter</w:t>
      </w:r>
      <w:r w:rsidR="00640B4E">
        <w:rPr>
          <w:rFonts w:ascii="BMFChange" w:eastAsia="Times New Roman" w:hAnsi="BMFChange" w:cs="BMFChange-Regular"/>
          <w:color w:val="000000"/>
          <w:szCs w:val="24"/>
        </w:rPr>
        <w:t>n</w:t>
      </w:r>
      <w:r w:rsidRPr="001F7450">
        <w:rPr>
          <w:rFonts w:ascii="BMFChange" w:eastAsia="Times New Roman" w:hAnsi="BMFChange" w:cs="BMFChange-Regular"/>
          <w:color w:val="000000"/>
          <w:szCs w:val="24"/>
          <w:lang w:val="x-none"/>
        </w:rPr>
        <w:t>. Hier ist die Gestaltung eines Grünzugs mit einer Optimierung der vorhandenen Stellplätze geplant.</w:t>
      </w:r>
    </w:p>
    <w:p w14:paraId="2460F61D" w14:textId="64B798BC" w:rsidR="001F7450" w:rsidRPr="001F7450" w:rsidRDefault="001F7450" w:rsidP="001F7450">
      <w:pPr>
        <w:autoSpaceDE w:val="0"/>
        <w:autoSpaceDN w:val="0"/>
        <w:adjustRightInd w:val="0"/>
        <w:snapToGrid w:val="0"/>
        <w:spacing w:after="200" w:line="240" w:lineRule="auto"/>
        <w:rPr>
          <w:rFonts w:ascii="BMFChange" w:eastAsia="Times New Roman" w:hAnsi="BMFChange" w:cs="BMFChange-Bold"/>
          <w:b/>
          <w:color w:val="000000"/>
          <w:sz w:val="24"/>
          <w:szCs w:val="24"/>
          <w:lang w:val="x-none"/>
        </w:rPr>
      </w:pPr>
      <w:r w:rsidRPr="001F7450">
        <w:rPr>
          <w:rFonts w:ascii="BMFChange" w:eastAsia="Times New Roman" w:hAnsi="BMFChange" w:cs="BMFChange-Bold"/>
          <w:b/>
          <w:color w:val="000000"/>
          <w:sz w:val="24"/>
          <w:szCs w:val="24"/>
          <w:lang w:val="x-none"/>
        </w:rPr>
        <w:t>Empfehlung</w:t>
      </w:r>
    </w:p>
    <w:p w14:paraId="36CE8F53" w14:textId="2F3E99F2" w:rsidR="001F7450" w:rsidRPr="00A03F43" w:rsidRDefault="000045F2" w:rsidP="001F7450">
      <w:pPr>
        <w:autoSpaceDE w:val="0"/>
        <w:autoSpaceDN w:val="0"/>
        <w:adjustRightInd w:val="0"/>
        <w:snapToGrid w:val="0"/>
        <w:spacing w:after="200" w:line="240" w:lineRule="auto"/>
        <w:rPr>
          <w:rFonts w:ascii="BMFChange" w:eastAsia="Times New Roman" w:hAnsi="BMFChange" w:cs="BMFChange-Regular"/>
          <w:color w:val="000000"/>
          <w:szCs w:val="24"/>
        </w:rPr>
      </w:pPr>
      <w:r>
        <w:rPr>
          <w:rFonts w:ascii="BMFChange" w:eastAsia="Times New Roman" w:hAnsi="BMFChange" w:cs="BMFChange-Regular"/>
          <w:color w:val="000000"/>
          <w:szCs w:val="24"/>
        </w:rPr>
        <w:t xml:space="preserve">Das Sanierungsgebiet </w:t>
      </w:r>
      <w:r w:rsidR="00640B4E">
        <w:rPr>
          <w:rFonts w:ascii="BMFChange" w:eastAsia="Times New Roman" w:hAnsi="BMFChange" w:cs="BMFChange-Regular"/>
          <w:color w:val="000000"/>
          <w:szCs w:val="24"/>
        </w:rPr>
        <w:t>ist</w:t>
      </w:r>
      <w:r w:rsidR="001F7450" w:rsidRPr="001F7450">
        <w:rPr>
          <w:rFonts w:ascii="BMFChange" w:eastAsia="Times New Roman" w:hAnsi="BMFChange" w:cs="BMFChange-Regular"/>
          <w:color w:val="000000"/>
          <w:szCs w:val="24"/>
          <w:lang w:val="x-none"/>
        </w:rPr>
        <w:t xml:space="preserve"> </w:t>
      </w:r>
      <w:r w:rsidR="00A03F43">
        <w:rPr>
          <w:rFonts w:ascii="BMFChange" w:eastAsia="Times New Roman" w:hAnsi="BMFChange" w:cs="BMFChange-Regular"/>
          <w:color w:val="000000"/>
          <w:szCs w:val="24"/>
        </w:rPr>
        <w:t>unter Beachtung von §142 (3) BauGB</w:t>
      </w:r>
      <w:r w:rsidR="00A03F43" w:rsidRPr="001F7450">
        <w:rPr>
          <w:rFonts w:ascii="BMFChange" w:eastAsia="Times New Roman" w:hAnsi="BMFChange" w:cs="BMFChange-Regular"/>
          <w:color w:val="000000"/>
          <w:szCs w:val="24"/>
          <w:lang w:val="x-none"/>
        </w:rPr>
        <w:t xml:space="preserve"> </w:t>
      </w:r>
      <w:r w:rsidR="001F7450" w:rsidRPr="001F7450">
        <w:rPr>
          <w:rFonts w:ascii="BMFChange" w:eastAsia="Times New Roman" w:hAnsi="BMFChange" w:cs="BMFChange-Regular"/>
          <w:color w:val="000000"/>
          <w:szCs w:val="24"/>
          <w:lang w:val="x-none"/>
        </w:rPr>
        <w:t xml:space="preserve">um 5 Jahre </w:t>
      </w:r>
      <w:r w:rsidR="00640B4E">
        <w:rPr>
          <w:rFonts w:ascii="BMFChange" w:eastAsia="Times New Roman" w:hAnsi="BMFChange" w:cs="BMFChange-Regular"/>
          <w:color w:val="000000"/>
          <w:szCs w:val="24"/>
        </w:rPr>
        <w:t xml:space="preserve">zu </w:t>
      </w:r>
      <w:r w:rsidR="001F7450" w:rsidRPr="001F7450">
        <w:rPr>
          <w:rFonts w:ascii="BMFChange" w:eastAsia="Times New Roman" w:hAnsi="BMFChange" w:cs="BMFChange-Regular"/>
          <w:color w:val="000000"/>
          <w:szCs w:val="24"/>
          <w:lang w:val="x-none"/>
        </w:rPr>
        <w:t>verlänger</w:t>
      </w:r>
      <w:r w:rsidR="00640B4E">
        <w:rPr>
          <w:rFonts w:ascii="BMFChange" w:eastAsia="Times New Roman" w:hAnsi="BMFChange" w:cs="BMFChange-Regular"/>
          <w:color w:val="000000"/>
          <w:szCs w:val="24"/>
        </w:rPr>
        <w:t>n</w:t>
      </w:r>
      <w:r w:rsidR="001F7450" w:rsidRPr="001F7450">
        <w:rPr>
          <w:rFonts w:ascii="BMFChange" w:eastAsia="Times New Roman" w:hAnsi="BMFChange" w:cs="BMFChange-Regular"/>
          <w:color w:val="000000"/>
          <w:szCs w:val="24"/>
          <w:lang w:val="x-none"/>
        </w:rPr>
        <w:t>.</w:t>
      </w:r>
      <w:r w:rsidR="00A03F43">
        <w:rPr>
          <w:rFonts w:ascii="BMFChange" w:eastAsia="Times New Roman" w:hAnsi="BMFChange" w:cs="BMFChange-Regular"/>
          <w:color w:val="000000"/>
          <w:szCs w:val="24"/>
        </w:rPr>
        <w:t xml:space="preserve"> </w:t>
      </w:r>
    </w:p>
    <w:p w14:paraId="2D5D465C" w14:textId="4FF2A6A8" w:rsidR="001F7450" w:rsidRPr="001F7450" w:rsidRDefault="001F7450" w:rsidP="001F7450">
      <w:pPr>
        <w:autoSpaceDE w:val="0"/>
        <w:autoSpaceDN w:val="0"/>
        <w:adjustRightInd w:val="0"/>
        <w:snapToGrid w:val="0"/>
        <w:spacing w:after="200" w:line="240" w:lineRule="auto"/>
        <w:rPr>
          <w:rFonts w:ascii="BMFChange" w:eastAsia="Times New Roman" w:hAnsi="BMFChange" w:cs="BMFChange-Regular"/>
          <w:color w:val="000000"/>
          <w:szCs w:val="24"/>
          <w:lang w:val="x-none"/>
        </w:rPr>
      </w:pPr>
      <w:r w:rsidRPr="001F7450">
        <w:rPr>
          <w:rFonts w:ascii="BMFChange" w:eastAsia="Times New Roman" w:hAnsi="BMFChange" w:cs="BMFChange-Regular"/>
          <w:color w:val="000000"/>
          <w:szCs w:val="24"/>
          <w:lang w:val="x-none"/>
        </w:rPr>
        <w:t xml:space="preserve">Die </w:t>
      </w:r>
      <w:proofErr w:type="spellStart"/>
      <w:r w:rsidR="006049F4">
        <w:rPr>
          <w:rFonts w:ascii="BMFChange" w:eastAsia="Times New Roman" w:hAnsi="BMFChange" w:cs="BMFChange-Regular"/>
          <w:color w:val="000000"/>
          <w:szCs w:val="24"/>
        </w:rPr>
        <w:t>Städtebauf</w:t>
      </w:r>
      <w:r w:rsidRPr="001F7450">
        <w:rPr>
          <w:rFonts w:ascii="BMFChange" w:eastAsia="Times New Roman" w:hAnsi="BMFChange" w:cs="BMFChange-Regular"/>
          <w:color w:val="000000"/>
          <w:szCs w:val="24"/>
          <w:lang w:val="x-none"/>
        </w:rPr>
        <w:t>örderkulisse</w:t>
      </w:r>
      <w:proofErr w:type="spellEnd"/>
      <w:r w:rsidRPr="001F7450">
        <w:rPr>
          <w:rFonts w:ascii="BMFChange" w:eastAsia="Times New Roman" w:hAnsi="BMFChange" w:cs="BMFChange-Regular"/>
          <w:color w:val="000000"/>
          <w:szCs w:val="24"/>
          <w:lang w:val="x-none"/>
        </w:rPr>
        <w:t xml:space="preserve"> „</w:t>
      </w:r>
      <w:r w:rsidR="003D43F0">
        <w:rPr>
          <w:rFonts w:ascii="BMFChange" w:eastAsia="Times New Roman" w:hAnsi="BMFChange" w:cs="BMFChange-Regular"/>
          <w:color w:val="000000"/>
          <w:szCs w:val="24"/>
        </w:rPr>
        <w:t>N</w:t>
      </w:r>
      <w:proofErr w:type="spellStart"/>
      <w:r w:rsidRPr="001F7450">
        <w:rPr>
          <w:rFonts w:ascii="BMFChange" w:eastAsia="Times New Roman" w:hAnsi="BMFChange" w:cs="BMFChange-Regular"/>
          <w:color w:val="000000"/>
          <w:szCs w:val="24"/>
          <w:lang w:val="x-none"/>
        </w:rPr>
        <w:t>achhaltige</w:t>
      </w:r>
      <w:proofErr w:type="spellEnd"/>
      <w:r w:rsidRPr="001F7450">
        <w:rPr>
          <w:rFonts w:ascii="BMFChange" w:eastAsia="Times New Roman" w:hAnsi="BMFChange" w:cs="BMFChange-Regular"/>
          <w:color w:val="000000"/>
          <w:szCs w:val="24"/>
          <w:lang w:val="x-none"/>
        </w:rPr>
        <w:t xml:space="preserve"> Erneuerung“ </w:t>
      </w:r>
      <w:r w:rsidR="006049F4">
        <w:rPr>
          <w:rFonts w:ascii="BMFChange" w:eastAsia="Times New Roman" w:hAnsi="BMFChange" w:cs="BMFChange-Regular"/>
          <w:color w:val="000000"/>
          <w:szCs w:val="24"/>
        </w:rPr>
        <w:t>(</w:t>
      </w:r>
      <w:r w:rsidR="003D43F0">
        <w:rPr>
          <w:rFonts w:ascii="BMFChange" w:eastAsia="Times New Roman" w:hAnsi="BMFChange" w:cs="BMFChange-Regular"/>
          <w:color w:val="000000"/>
          <w:szCs w:val="24"/>
        </w:rPr>
        <w:t xml:space="preserve">bisher </w:t>
      </w:r>
      <w:r w:rsidR="006049F4">
        <w:rPr>
          <w:rFonts w:ascii="BMFChange" w:eastAsia="Times New Roman" w:hAnsi="BMFChange" w:cs="BMFChange-Regular"/>
          <w:color w:val="000000"/>
          <w:szCs w:val="24"/>
        </w:rPr>
        <w:t xml:space="preserve">Stadtumbau Ost) </w:t>
      </w:r>
      <w:r w:rsidR="00640B4E">
        <w:rPr>
          <w:rFonts w:ascii="BMFChange" w:eastAsia="Times New Roman" w:hAnsi="BMFChange" w:cs="BMFChange-Regular"/>
          <w:color w:val="000000"/>
          <w:szCs w:val="24"/>
        </w:rPr>
        <w:t>ist</w:t>
      </w:r>
      <w:r w:rsidRPr="001F7450">
        <w:rPr>
          <w:rFonts w:ascii="BMFChange" w:eastAsia="Times New Roman" w:hAnsi="BMFChange" w:cs="BMFChange-Regular"/>
          <w:color w:val="000000"/>
          <w:szCs w:val="24"/>
          <w:lang w:val="x-none"/>
        </w:rPr>
        <w:t xml:space="preserve"> um den gleichen Zeitraum </w:t>
      </w:r>
      <w:r w:rsidR="00640B4E">
        <w:rPr>
          <w:rFonts w:ascii="BMFChange" w:eastAsia="Times New Roman" w:hAnsi="BMFChange" w:cs="BMFChange-Regular"/>
          <w:color w:val="000000"/>
          <w:szCs w:val="24"/>
        </w:rPr>
        <w:t xml:space="preserve">zu </w:t>
      </w:r>
      <w:r w:rsidRPr="001F7450">
        <w:rPr>
          <w:rFonts w:ascii="BMFChange" w:eastAsia="Times New Roman" w:hAnsi="BMFChange" w:cs="BMFChange-Regular"/>
          <w:color w:val="000000"/>
          <w:szCs w:val="24"/>
          <w:lang w:val="x-none"/>
        </w:rPr>
        <w:t>verlänger</w:t>
      </w:r>
      <w:r w:rsidR="00640B4E">
        <w:rPr>
          <w:rFonts w:ascii="BMFChange" w:eastAsia="Times New Roman" w:hAnsi="BMFChange" w:cs="BMFChange-Regular"/>
          <w:color w:val="000000"/>
          <w:szCs w:val="24"/>
        </w:rPr>
        <w:t>n</w:t>
      </w:r>
      <w:r w:rsidRPr="001F7450">
        <w:rPr>
          <w:rFonts w:ascii="BMFChange" w:eastAsia="Times New Roman" w:hAnsi="BMFChange" w:cs="BMFChange-Regular"/>
          <w:color w:val="000000"/>
          <w:szCs w:val="24"/>
          <w:lang w:val="x-none"/>
        </w:rPr>
        <w:t xml:space="preserve"> und um das Flurstück 111 </w:t>
      </w:r>
      <w:r w:rsidR="00640B4E">
        <w:rPr>
          <w:rFonts w:ascii="BMFChange" w:eastAsia="Times New Roman" w:hAnsi="BMFChange" w:cs="BMFChange-Regular"/>
          <w:color w:val="000000"/>
          <w:szCs w:val="24"/>
        </w:rPr>
        <w:t xml:space="preserve">zu </w:t>
      </w:r>
      <w:r w:rsidRPr="001F7450">
        <w:rPr>
          <w:rFonts w:ascii="BMFChange" w:eastAsia="Times New Roman" w:hAnsi="BMFChange" w:cs="BMFChange-Regular"/>
          <w:color w:val="000000"/>
          <w:szCs w:val="24"/>
          <w:lang w:val="x-none"/>
        </w:rPr>
        <w:t>erweiter</w:t>
      </w:r>
      <w:r w:rsidR="00640B4E">
        <w:rPr>
          <w:rFonts w:ascii="BMFChange" w:eastAsia="Times New Roman" w:hAnsi="BMFChange" w:cs="BMFChange-Regular"/>
          <w:color w:val="000000"/>
          <w:szCs w:val="24"/>
        </w:rPr>
        <w:t>n</w:t>
      </w:r>
      <w:r w:rsidRPr="001F7450">
        <w:rPr>
          <w:rFonts w:ascii="BMFChange" w:eastAsia="Times New Roman" w:hAnsi="BMFChange" w:cs="BMFChange-Regular"/>
          <w:color w:val="000000"/>
          <w:szCs w:val="24"/>
          <w:lang w:val="x-none"/>
        </w:rPr>
        <w:t>.</w:t>
      </w:r>
    </w:p>
    <w:p w14:paraId="6E60FDC7" w14:textId="77777777" w:rsidR="00FF511C" w:rsidRPr="001F7450" w:rsidRDefault="00FF511C" w:rsidP="001F7450">
      <w:pPr>
        <w:spacing w:after="200"/>
        <w:rPr>
          <w:rFonts w:ascii="BMFChange" w:hAnsi="BMFChange"/>
          <w:lang w:val="x-none"/>
        </w:rPr>
      </w:pPr>
    </w:p>
    <w:sectPr w:rsidR="00FF511C" w:rsidRPr="001F7450" w:rsidSect="00A12170">
      <w:headerReference w:type="default" r:id="rId9"/>
      <w:footerReference w:type="default" r:id="rId10"/>
      <w:pgSz w:w="12240" w:h="15840"/>
      <w:pgMar w:top="1417" w:right="1417" w:bottom="1134" w:left="1417" w:header="720" w:footer="720" w:gutter="0"/>
      <w:pgNumType w:start="13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4795A" w14:textId="77777777" w:rsidR="00232215" w:rsidRDefault="00232215" w:rsidP="00232215">
      <w:pPr>
        <w:spacing w:after="0" w:line="240" w:lineRule="auto"/>
      </w:pPr>
      <w:r>
        <w:separator/>
      </w:r>
    </w:p>
  </w:endnote>
  <w:endnote w:type="continuationSeparator" w:id="0">
    <w:p w14:paraId="104AF036" w14:textId="77777777" w:rsidR="00232215" w:rsidRDefault="00232215" w:rsidP="0023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MFChange">
    <w:panose1 w:val="02000503040000020004"/>
    <w:charset w:val="00"/>
    <w:family w:val="auto"/>
    <w:pitch w:val="variable"/>
    <w:sig w:usb0="A00002E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BMFChange-Bold">
    <w:panose1 w:val="00000000000000000000"/>
    <w:charset w:val="00"/>
    <w:family w:val="auto"/>
    <w:notTrueType/>
    <w:pitch w:val="default"/>
    <w:sig w:usb0="00000003" w:usb1="00000000" w:usb2="00000000" w:usb3="00000000" w:csb0="00000001" w:csb1="00000000"/>
  </w:font>
  <w:font w:name="BMFChang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732678"/>
      <w:docPartObj>
        <w:docPartGallery w:val="Page Numbers (Bottom of Page)"/>
        <w:docPartUnique/>
      </w:docPartObj>
    </w:sdtPr>
    <w:sdtEndPr/>
    <w:sdtContent>
      <w:p w14:paraId="18247B32" w14:textId="442FED1B" w:rsidR="00A12170" w:rsidRDefault="004160EA">
        <w:pPr>
          <w:pStyle w:val="Fuzeile"/>
          <w:jc w:val="right"/>
        </w:pPr>
      </w:p>
    </w:sdtContent>
  </w:sdt>
  <w:p w14:paraId="09A9B100" w14:textId="77777777" w:rsidR="00A12170" w:rsidRDefault="00A121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EDDE" w14:textId="77777777" w:rsidR="00232215" w:rsidRDefault="00232215" w:rsidP="00232215">
      <w:pPr>
        <w:spacing w:after="0" w:line="240" w:lineRule="auto"/>
      </w:pPr>
      <w:r>
        <w:separator/>
      </w:r>
    </w:p>
  </w:footnote>
  <w:footnote w:type="continuationSeparator" w:id="0">
    <w:p w14:paraId="5BEFBC4E" w14:textId="77777777" w:rsidR="00232215" w:rsidRDefault="00232215" w:rsidP="00232215">
      <w:pPr>
        <w:spacing w:after="0" w:line="240" w:lineRule="auto"/>
      </w:pPr>
      <w:r>
        <w:continuationSeparator/>
      </w:r>
    </w:p>
  </w:footnote>
  <w:footnote w:id="1">
    <w:p w14:paraId="1C12AF34" w14:textId="3E97F81F" w:rsidR="000069C7" w:rsidRDefault="000069C7">
      <w:pPr>
        <w:pStyle w:val="Funotentext"/>
      </w:pPr>
      <w:r>
        <w:rPr>
          <w:rStyle w:val="Funotenzeichen"/>
        </w:rPr>
        <w:footnoteRef/>
      </w:r>
      <w:r>
        <w:t xml:space="preserve"> </w:t>
      </w:r>
      <w:r w:rsidRPr="000069C7">
        <w:t xml:space="preserve">Eine detaillierte Begründung zur Konkretisierung und Fortschreibung der Sanierungsziele für diesen Bereich liefert </w:t>
      </w:r>
      <w:r w:rsidR="00E95981">
        <w:t>die Untersuchung</w:t>
      </w:r>
      <w:r w:rsidRPr="000069C7">
        <w:t xml:space="preserve"> der Planergemeinschaft für Stadt und Raum eG im Anhang</w:t>
      </w:r>
      <w:r w:rsidR="006016BD">
        <w:t>:</w:t>
      </w:r>
    </w:p>
    <w:p w14:paraId="54C61D1E" w14:textId="4F57F6F1" w:rsidR="000069C7" w:rsidRDefault="000069C7">
      <w:pPr>
        <w:pStyle w:val="Funotentext"/>
      </w:pPr>
      <w:r>
        <w:t>Planergemeinschaft: Block 40 in Berlin-Lichtenberg "Campus für Demokratie" - Begründung zur Konkretisierung und Fortschreibung der Sanierungsziele,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570759"/>
      <w:docPartObj>
        <w:docPartGallery w:val="Watermarks"/>
        <w:docPartUnique/>
      </w:docPartObj>
    </w:sdtPr>
    <w:sdtEndPr/>
    <w:sdtContent>
      <w:p w14:paraId="4D200238" w14:textId="0EBB1A64" w:rsidR="00A12170" w:rsidRDefault="004160EA">
        <w:pPr>
          <w:pStyle w:val="Kopfzeile"/>
        </w:pPr>
        <w:r>
          <w:pict w14:anchorId="04F32C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10A9A"/>
    <w:multiLevelType w:val="hybridMultilevel"/>
    <w:tmpl w:val="1CA8AE72"/>
    <w:lvl w:ilvl="0" w:tplc="C9928CDA">
      <w:start w:val="2"/>
      <w:numFmt w:val="bullet"/>
      <w:lvlText w:val="-"/>
      <w:lvlJc w:val="left"/>
      <w:pPr>
        <w:ind w:left="927" w:hanging="360"/>
      </w:pPr>
      <w:rPr>
        <w:rFonts w:ascii="Arial Narrow" w:eastAsia="Times New Roman" w:hAnsi="Arial Narrow"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50"/>
    <w:rsid w:val="000045F2"/>
    <w:rsid w:val="000069C7"/>
    <w:rsid w:val="00055B98"/>
    <w:rsid w:val="000921C0"/>
    <w:rsid w:val="000C1F97"/>
    <w:rsid w:val="000F079B"/>
    <w:rsid w:val="000F48E1"/>
    <w:rsid w:val="00115881"/>
    <w:rsid w:val="00165F87"/>
    <w:rsid w:val="00175896"/>
    <w:rsid w:val="001D2A20"/>
    <w:rsid w:val="001F7450"/>
    <w:rsid w:val="002163E3"/>
    <w:rsid w:val="00232215"/>
    <w:rsid w:val="00266FB6"/>
    <w:rsid w:val="002E7990"/>
    <w:rsid w:val="003200FD"/>
    <w:rsid w:val="003629D1"/>
    <w:rsid w:val="003D43F0"/>
    <w:rsid w:val="00410C33"/>
    <w:rsid w:val="004160EA"/>
    <w:rsid w:val="004C6CE5"/>
    <w:rsid w:val="00547716"/>
    <w:rsid w:val="005516BB"/>
    <w:rsid w:val="005A1905"/>
    <w:rsid w:val="005C137C"/>
    <w:rsid w:val="006016BD"/>
    <w:rsid w:val="006049F4"/>
    <w:rsid w:val="00640B4E"/>
    <w:rsid w:val="0065081F"/>
    <w:rsid w:val="00667C76"/>
    <w:rsid w:val="00674125"/>
    <w:rsid w:val="00704A39"/>
    <w:rsid w:val="00776003"/>
    <w:rsid w:val="00790C41"/>
    <w:rsid w:val="008446DE"/>
    <w:rsid w:val="00895CA2"/>
    <w:rsid w:val="008A6517"/>
    <w:rsid w:val="009475E9"/>
    <w:rsid w:val="009C15CF"/>
    <w:rsid w:val="00A03F43"/>
    <w:rsid w:val="00A12170"/>
    <w:rsid w:val="00A21BFF"/>
    <w:rsid w:val="00A24496"/>
    <w:rsid w:val="00A619D4"/>
    <w:rsid w:val="00AB4113"/>
    <w:rsid w:val="00AC0E75"/>
    <w:rsid w:val="00AD524C"/>
    <w:rsid w:val="00BA1452"/>
    <w:rsid w:val="00CD09A3"/>
    <w:rsid w:val="00CE5665"/>
    <w:rsid w:val="00CE798F"/>
    <w:rsid w:val="00D44C83"/>
    <w:rsid w:val="00D45504"/>
    <w:rsid w:val="00D77ACF"/>
    <w:rsid w:val="00D84547"/>
    <w:rsid w:val="00D850AE"/>
    <w:rsid w:val="00DB4ACC"/>
    <w:rsid w:val="00DC208A"/>
    <w:rsid w:val="00DC3026"/>
    <w:rsid w:val="00DE62C9"/>
    <w:rsid w:val="00E223BF"/>
    <w:rsid w:val="00E55057"/>
    <w:rsid w:val="00E95981"/>
    <w:rsid w:val="00EA54F7"/>
    <w:rsid w:val="00EF4EC6"/>
    <w:rsid w:val="00F80068"/>
    <w:rsid w:val="00F83548"/>
    <w:rsid w:val="00FD2968"/>
    <w:rsid w:val="00FF51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3060E"/>
  <w15:chartTrackingRefBased/>
  <w15:docId w15:val="{82E68C54-E6F2-4637-ABA8-07E77E6D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AC0E75"/>
    <w:pPr>
      <w:keepNext/>
      <w:keepLines/>
      <w:spacing w:before="240" w:after="0" w:line="276" w:lineRule="auto"/>
      <w:outlineLvl w:val="0"/>
    </w:pPr>
    <w:rPr>
      <w:rFonts w:ascii="BMFChange" w:eastAsiaTheme="majorEastAsia" w:hAnsi="BMFChange" w:cstheme="majorBidi"/>
      <w:sz w:val="36"/>
      <w:szCs w:val="32"/>
    </w:rPr>
  </w:style>
  <w:style w:type="paragraph" w:styleId="berschrift2">
    <w:name w:val="heading 2"/>
    <w:basedOn w:val="Standard"/>
    <w:next w:val="Standard"/>
    <w:link w:val="berschrift2Zchn"/>
    <w:autoRedefine/>
    <w:uiPriority w:val="9"/>
    <w:unhideWhenUsed/>
    <w:qFormat/>
    <w:rsid w:val="00AC0E75"/>
    <w:pPr>
      <w:keepNext/>
      <w:keepLines/>
      <w:spacing w:before="40" w:after="0"/>
      <w:outlineLvl w:val="1"/>
    </w:pPr>
    <w:rPr>
      <w:rFonts w:ascii="BMFChange" w:eastAsiaTheme="majorEastAsia" w:hAnsi="BMFChange" w:cstheme="majorBidi"/>
      <w:b/>
      <w:sz w:val="32"/>
      <w:szCs w:val="26"/>
    </w:rPr>
  </w:style>
  <w:style w:type="paragraph" w:styleId="berschrift3">
    <w:name w:val="heading 3"/>
    <w:basedOn w:val="Standard"/>
    <w:next w:val="Standard"/>
    <w:link w:val="berschrift3Zchn"/>
    <w:autoRedefine/>
    <w:uiPriority w:val="9"/>
    <w:unhideWhenUsed/>
    <w:qFormat/>
    <w:rsid w:val="00A619D4"/>
    <w:pPr>
      <w:keepNext/>
      <w:keepLines/>
      <w:spacing w:before="40" w:after="0"/>
      <w:outlineLvl w:val="2"/>
    </w:pPr>
    <w:rPr>
      <w:rFonts w:ascii="BMFChange" w:eastAsiaTheme="majorEastAsia" w:hAnsi="BMFChange"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0E75"/>
    <w:rPr>
      <w:rFonts w:ascii="BMFChange" w:eastAsiaTheme="majorEastAsia" w:hAnsi="BMFChange" w:cstheme="majorBidi"/>
      <w:sz w:val="36"/>
      <w:szCs w:val="32"/>
    </w:rPr>
  </w:style>
  <w:style w:type="character" w:customStyle="1" w:styleId="berschrift2Zchn">
    <w:name w:val="Überschrift 2 Zchn"/>
    <w:basedOn w:val="Absatz-Standardschriftart"/>
    <w:link w:val="berschrift2"/>
    <w:uiPriority w:val="9"/>
    <w:rsid w:val="00AC0E75"/>
    <w:rPr>
      <w:rFonts w:ascii="BMFChange" w:eastAsiaTheme="majorEastAsia" w:hAnsi="BMFChange" w:cstheme="majorBidi"/>
      <w:b/>
      <w:sz w:val="32"/>
      <w:szCs w:val="26"/>
    </w:rPr>
  </w:style>
  <w:style w:type="character" w:customStyle="1" w:styleId="berschrift3Zchn">
    <w:name w:val="Überschrift 3 Zchn"/>
    <w:basedOn w:val="Absatz-Standardschriftart"/>
    <w:link w:val="berschrift3"/>
    <w:uiPriority w:val="9"/>
    <w:rsid w:val="00A619D4"/>
    <w:rPr>
      <w:rFonts w:ascii="BMFChange" w:eastAsiaTheme="majorEastAsia" w:hAnsi="BMFChange" w:cstheme="majorBidi"/>
      <w:b/>
      <w:sz w:val="24"/>
      <w:szCs w:val="24"/>
    </w:rPr>
  </w:style>
  <w:style w:type="paragraph" w:styleId="Textkrper">
    <w:name w:val="Body Text"/>
    <w:basedOn w:val="Standard"/>
    <w:link w:val="TextkrperZchn"/>
    <w:autoRedefine/>
    <w:rsid w:val="00AC0E75"/>
    <w:pPr>
      <w:spacing w:after="140" w:line="288" w:lineRule="auto"/>
    </w:pPr>
    <w:rPr>
      <w:rFonts w:ascii="BMFChange" w:hAnsi="BMFChange"/>
      <w:b/>
      <w:sz w:val="24"/>
    </w:rPr>
  </w:style>
  <w:style w:type="character" w:customStyle="1" w:styleId="TextkrperZchn">
    <w:name w:val="Textkörper Zchn"/>
    <w:basedOn w:val="Absatz-Standardschriftart"/>
    <w:link w:val="Textkrper"/>
    <w:rsid w:val="00AC0E75"/>
    <w:rPr>
      <w:rFonts w:ascii="BMFChange" w:hAnsi="BMFChange"/>
      <w:b/>
      <w:sz w:val="24"/>
    </w:rPr>
  </w:style>
  <w:style w:type="character" w:styleId="Kommentarzeichen">
    <w:name w:val="annotation reference"/>
    <w:basedOn w:val="Absatz-Standardschriftart"/>
    <w:uiPriority w:val="99"/>
    <w:semiHidden/>
    <w:unhideWhenUsed/>
    <w:rsid w:val="00E55057"/>
    <w:rPr>
      <w:sz w:val="16"/>
      <w:szCs w:val="16"/>
    </w:rPr>
  </w:style>
  <w:style w:type="paragraph" w:styleId="Kommentartext">
    <w:name w:val="annotation text"/>
    <w:basedOn w:val="Standard"/>
    <w:link w:val="KommentartextZchn"/>
    <w:uiPriority w:val="99"/>
    <w:semiHidden/>
    <w:unhideWhenUsed/>
    <w:rsid w:val="00E5505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5057"/>
    <w:rPr>
      <w:sz w:val="20"/>
      <w:szCs w:val="20"/>
    </w:rPr>
  </w:style>
  <w:style w:type="paragraph" w:styleId="Kommentarthema">
    <w:name w:val="annotation subject"/>
    <w:basedOn w:val="Kommentartext"/>
    <w:next w:val="Kommentartext"/>
    <w:link w:val="KommentarthemaZchn"/>
    <w:uiPriority w:val="99"/>
    <w:semiHidden/>
    <w:unhideWhenUsed/>
    <w:rsid w:val="00E55057"/>
    <w:rPr>
      <w:b/>
      <w:bCs/>
    </w:rPr>
  </w:style>
  <w:style w:type="character" w:customStyle="1" w:styleId="KommentarthemaZchn">
    <w:name w:val="Kommentarthema Zchn"/>
    <w:basedOn w:val="KommentartextZchn"/>
    <w:link w:val="Kommentarthema"/>
    <w:uiPriority w:val="99"/>
    <w:semiHidden/>
    <w:rsid w:val="00E55057"/>
    <w:rPr>
      <w:b/>
      <w:bCs/>
      <w:sz w:val="20"/>
      <w:szCs w:val="20"/>
    </w:rPr>
  </w:style>
  <w:style w:type="paragraph" w:styleId="Sprechblasentext">
    <w:name w:val="Balloon Text"/>
    <w:basedOn w:val="Standard"/>
    <w:link w:val="SprechblasentextZchn"/>
    <w:uiPriority w:val="99"/>
    <w:semiHidden/>
    <w:unhideWhenUsed/>
    <w:rsid w:val="00E550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057"/>
    <w:rPr>
      <w:rFonts w:ascii="Segoe UI" w:hAnsi="Segoe UI" w:cs="Segoe UI"/>
      <w:sz w:val="18"/>
      <w:szCs w:val="18"/>
    </w:rPr>
  </w:style>
  <w:style w:type="paragraph" w:customStyle="1" w:styleId="PlgFlietext01">
    <w:name w:val="Plg_Fließtext_01"/>
    <w:basedOn w:val="Standard"/>
    <w:link w:val="PlgFlietext01ZchnZchn"/>
    <w:qFormat/>
    <w:rsid w:val="00055B98"/>
    <w:pPr>
      <w:tabs>
        <w:tab w:val="left" w:pos="284"/>
        <w:tab w:val="left" w:pos="680"/>
        <w:tab w:val="left" w:pos="851"/>
        <w:tab w:val="left" w:pos="1134"/>
        <w:tab w:val="left" w:pos="1418"/>
        <w:tab w:val="left" w:pos="1701"/>
        <w:tab w:val="left" w:pos="1985"/>
        <w:tab w:val="left" w:pos="2268"/>
        <w:tab w:val="right" w:pos="6521"/>
        <w:tab w:val="right" w:pos="9072"/>
      </w:tabs>
      <w:spacing w:after="80" w:line="280" w:lineRule="exact"/>
      <w:jc w:val="both"/>
    </w:pPr>
    <w:rPr>
      <w:rFonts w:ascii="Arial Narrow" w:eastAsia="Times New Roman" w:hAnsi="Arial Narrow" w:cs="Times New Roman"/>
      <w:sz w:val="23"/>
      <w:lang w:eastAsia="de-DE"/>
    </w:rPr>
  </w:style>
  <w:style w:type="character" w:customStyle="1" w:styleId="PlgFlietext01ZchnZchn">
    <w:name w:val="Plg_Fließtext_01 Zchn Zchn"/>
    <w:link w:val="PlgFlietext01"/>
    <w:rsid w:val="00055B98"/>
    <w:rPr>
      <w:rFonts w:ascii="Arial Narrow" w:eastAsia="Times New Roman" w:hAnsi="Arial Narrow" w:cs="Times New Roman"/>
      <w:sz w:val="23"/>
      <w:lang w:eastAsia="de-DE"/>
    </w:rPr>
  </w:style>
  <w:style w:type="character" w:customStyle="1" w:styleId="PlgAuflistungSpiegelstricheZchnZchn">
    <w:name w:val="Plg_Auflistung_Spiegelstriche Zchn Zchn"/>
    <w:link w:val="PlgAuflistungSpiegelstriche"/>
    <w:rsid w:val="00055B98"/>
    <w:rPr>
      <w:rFonts w:ascii="Arial Narrow" w:hAnsi="Arial Narrow"/>
      <w:sz w:val="23"/>
      <w:lang w:eastAsia="x-none"/>
    </w:rPr>
  </w:style>
  <w:style w:type="paragraph" w:customStyle="1" w:styleId="PlgAuflistungSpiegelstriche">
    <w:name w:val="Plg_Auflistung_Spiegelstriche"/>
    <w:basedOn w:val="Standard"/>
    <w:link w:val="PlgAuflistungSpiegelstricheZchnZchn"/>
    <w:qFormat/>
    <w:rsid w:val="00055B98"/>
    <w:pPr>
      <w:tabs>
        <w:tab w:val="left" w:pos="284"/>
        <w:tab w:val="left" w:pos="567"/>
        <w:tab w:val="left" w:pos="851"/>
        <w:tab w:val="left" w:pos="1134"/>
        <w:tab w:val="right" w:pos="6521"/>
      </w:tabs>
      <w:autoSpaceDE w:val="0"/>
      <w:autoSpaceDN w:val="0"/>
      <w:adjustRightInd w:val="0"/>
      <w:spacing w:after="80" w:line="280" w:lineRule="exact"/>
      <w:ind w:left="284" w:hanging="284"/>
      <w:jc w:val="both"/>
    </w:pPr>
    <w:rPr>
      <w:rFonts w:ascii="Arial Narrow" w:hAnsi="Arial Narrow"/>
      <w:sz w:val="23"/>
      <w:lang w:eastAsia="x-none"/>
    </w:rPr>
  </w:style>
  <w:style w:type="paragraph" w:styleId="Funotentext">
    <w:name w:val="footnote text"/>
    <w:basedOn w:val="Standard"/>
    <w:link w:val="FunotentextZchn"/>
    <w:uiPriority w:val="99"/>
    <w:semiHidden/>
    <w:unhideWhenUsed/>
    <w:rsid w:val="0023221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32215"/>
    <w:rPr>
      <w:sz w:val="20"/>
      <w:szCs w:val="20"/>
    </w:rPr>
  </w:style>
  <w:style w:type="character" w:styleId="Funotenzeichen">
    <w:name w:val="footnote reference"/>
    <w:basedOn w:val="Absatz-Standardschriftart"/>
    <w:uiPriority w:val="99"/>
    <w:semiHidden/>
    <w:unhideWhenUsed/>
    <w:rsid w:val="00232215"/>
    <w:rPr>
      <w:vertAlign w:val="superscript"/>
    </w:rPr>
  </w:style>
  <w:style w:type="paragraph" w:styleId="Kopfzeile">
    <w:name w:val="header"/>
    <w:basedOn w:val="Standard"/>
    <w:link w:val="KopfzeileZchn"/>
    <w:uiPriority w:val="99"/>
    <w:unhideWhenUsed/>
    <w:rsid w:val="00A121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170"/>
  </w:style>
  <w:style w:type="paragraph" w:styleId="Fuzeile">
    <w:name w:val="footer"/>
    <w:basedOn w:val="Standard"/>
    <w:link w:val="FuzeileZchn"/>
    <w:uiPriority w:val="99"/>
    <w:unhideWhenUsed/>
    <w:rsid w:val="00A121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1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B5EB-E080-4FDF-8DDB-FB40DC48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Tegeler</dc:creator>
  <cp:keywords/>
  <dc:description/>
  <cp:lastModifiedBy>Konto 6</cp:lastModifiedBy>
  <cp:revision>17</cp:revision>
  <dcterms:created xsi:type="dcterms:W3CDTF">2020-06-10T14:08:00Z</dcterms:created>
  <dcterms:modified xsi:type="dcterms:W3CDTF">2020-07-07T17:08:00Z</dcterms:modified>
</cp:coreProperties>
</file>