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6046C" w14:textId="77777777" w:rsidR="00940E92" w:rsidRPr="00940E92" w:rsidRDefault="00940E92" w:rsidP="00940E92">
      <w:pPr>
        <w:pStyle w:val="berschrift1"/>
      </w:pPr>
      <w:r>
        <w:t>Wohnen</w:t>
      </w:r>
    </w:p>
    <w:p w14:paraId="48447D86" w14:textId="77777777" w:rsidR="00940E92" w:rsidRDefault="00940E92" w:rsidP="00940E92">
      <w:pPr>
        <w:pStyle w:val="berschrift2"/>
        <w:rPr>
          <w:rFonts w:eastAsia="BMFChange Light"/>
        </w:rPr>
      </w:pPr>
      <w:r>
        <w:rPr>
          <w:rFonts w:eastAsia="BMFChange Light"/>
        </w:rPr>
        <w:t>Im Bestand</w:t>
      </w:r>
    </w:p>
    <w:p w14:paraId="069052CD" w14:textId="67944DD9" w:rsidR="00940E92" w:rsidRPr="008A7189" w:rsidRDefault="00940E92" w:rsidP="00940E92">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Für die größer werdende Zahl von Senior</w:t>
      </w:r>
      <w:r>
        <w:rPr>
          <w:rFonts w:ascii="BMFChange" w:eastAsia="BMFChange Light" w:hAnsi="BMFChange" w:cstheme="minorHAnsi"/>
        </w:rPr>
        <w:t>*inn</w:t>
      </w:r>
      <w:r w:rsidRPr="00A248A2">
        <w:rPr>
          <w:rFonts w:ascii="BMFChange" w:eastAsia="BMFChange Light" w:hAnsi="BMFChange" w:cstheme="minorHAnsi"/>
        </w:rPr>
        <w:t xml:space="preserve">en im Gebiet sollte geeigneter, </w:t>
      </w:r>
      <w:proofErr w:type="spellStart"/>
      <w:r w:rsidRPr="00A248A2">
        <w:rPr>
          <w:rFonts w:ascii="BMFChange" w:eastAsia="BMFChange Light" w:hAnsi="BMFChange" w:cstheme="minorHAnsi"/>
        </w:rPr>
        <w:t>barriere</w:t>
      </w:r>
      <w:r>
        <w:rPr>
          <w:rFonts w:ascii="BMFChange" w:eastAsia="BMFChange Light" w:hAnsi="BMFChange" w:cstheme="minorHAnsi"/>
        </w:rPr>
        <w:t>reduzierter</w:t>
      </w:r>
      <w:proofErr w:type="spellEnd"/>
      <w:r w:rsidRPr="00A248A2" w:rsidDel="008A7189">
        <w:rPr>
          <w:rFonts w:ascii="BMFChange" w:eastAsia="BMFChange Light" w:hAnsi="BMFChange" w:cstheme="minorHAnsi"/>
        </w:rPr>
        <w:t xml:space="preserve"> </w:t>
      </w:r>
      <w:r>
        <w:rPr>
          <w:rFonts w:ascii="BMFChange" w:eastAsia="BMFChange Light" w:hAnsi="BMFChange" w:cstheme="minorHAnsi"/>
        </w:rPr>
        <w:t xml:space="preserve">oder, wo möglich, </w:t>
      </w:r>
      <w:r w:rsidRPr="00A248A2">
        <w:rPr>
          <w:rFonts w:ascii="BMFChange" w:eastAsia="BMFChange Light" w:hAnsi="BMFChange" w:cstheme="minorHAnsi"/>
        </w:rPr>
        <w:t>barrierefreier Wohnraum geschaffen werden</w:t>
      </w:r>
      <w:r>
        <w:rPr>
          <w:rFonts w:ascii="BMFChange" w:eastAsia="BMFChange Light" w:hAnsi="BMFChange" w:cstheme="minorHAnsi"/>
        </w:rPr>
        <w:t xml:space="preserve">. </w:t>
      </w:r>
      <w:r w:rsidR="00AC736D" w:rsidRPr="00A248A2">
        <w:rPr>
          <w:rFonts w:ascii="BMFChange" w:eastAsia="BMFChange Light" w:hAnsi="BMFChange" w:cstheme="minorHAnsi"/>
        </w:rPr>
        <w:t xml:space="preserve">Die bereits </w:t>
      </w:r>
      <w:r w:rsidR="00AC736D">
        <w:rPr>
          <w:rFonts w:ascii="BMFChange" w:eastAsia="BMFChange Light" w:hAnsi="BMFChange" w:cstheme="minorHAnsi"/>
        </w:rPr>
        <w:t>im</w:t>
      </w:r>
      <w:r w:rsidR="00AC736D" w:rsidRPr="00A248A2">
        <w:rPr>
          <w:rFonts w:ascii="BMFChange" w:eastAsia="BMFChange Light" w:hAnsi="BMFChange" w:cstheme="minorHAnsi"/>
        </w:rPr>
        <w:t xml:space="preserve"> ISEK 2014 empfohlene Maßnahme einer Nachrüstung mit Aufzügen, ist bisher nicht umgesetzt worden. </w:t>
      </w:r>
      <w:r w:rsidRPr="00A248A2">
        <w:rPr>
          <w:rFonts w:ascii="BMFChange" w:eastAsia="BMFChange Light" w:hAnsi="BMFChange" w:cstheme="minorHAnsi"/>
        </w:rPr>
        <w:t>Ein Hindernis sind hier die hohen Betriebskosten von Aufzugsanlagen, die bei viergeschossigen Gebäuden auf verhältnismäßig wenige Mieter</w:t>
      </w:r>
      <w:r>
        <w:rPr>
          <w:rFonts w:ascii="BMFChange" w:eastAsia="BMFChange Light" w:hAnsi="BMFChange" w:cstheme="minorHAnsi"/>
        </w:rPr>
        <w:t>*innen</w:t>
      </w:r>
      <w:r w:rsidRPr="00A248A2">
        <w:rPr>
          <w:rFonts w:ascii="BMFChange" w:eastAsia="BMFChange Light" w:hAnsi="BMFChange" w:cstheme="minorHAnsi"/>
        </w:rPr>
        <w:t xml:space="preserve"> umgelegt würden.</w:t>
      </w:r>
      <w:r>
        <w:rPr>
          <w:rFonts w:ascii="BMFChange" w:eastAsia="BMFChange Light" w:hAnsi="BMFChange" w:cstheme="minorHAnsi"/>
        </w:rPr>
        <w:t xml:space="preserve"> </w:t>
      </w:r>
    </w:p>
    <w:p w14:paraId="69C54322" w14:textId="3799F905" w:rsidR="00940E92" w:rsidRPr="00A248A2" w:rsidRDefault="00AC736D" w:rsidP="00940E92">
      <w:pPr>
        <w:spacing w:after="200" w:line="276" w:lineRule="auto"/>
        <w:textAlignment w:val="baseline"/>
        <w:rPr>
          <w:rFonts w:ascii="BMFChange" w:eastAsia="BMFChange Light" w:hAnsi="BMFChange" w:cstheme="minorHAnsi"/>
        </w:rPr>
      </w:pPr>
      <w:r>
        <w:rPr>
          <w:rFonts w:ascii="BMFChange" w:eastAsia="BMFChange Light" w:hAnsi="BMFChange" w:cstheme="minorHAnsi"/>
        </w:rPr>
        <w:t xml:space="preserve">Im gesamten Gebiet </w:t>
      </w:r>
      <w:r w:rsidR="00940E92" w:rsidRPr="00A248A2">
        <w:rPr>
          <w:rFonts w:ascii="BMFChange" w:eastAsia="BMFChange Light" w:hAnsi="BMFChange" w:cstheme="minorHAnsi"/>
        </w:rPr>
        <w:t>sollten bei erforderlichen Erneuerungsmaßnahmen, die Potentiale für energetische Sanierungen weitestgehend ausgenutzt werden. Dabei ist darauf zu achten, dass die Bewohner</w:t>
      </w:r>
      <w:r w:rsidR="00940E92">
        <w:rPr>
          <w:rFonts w:ascii="BMFChange" w:eastAsia="BMFChange Light" w:hAnsi="BMFChange" w:cstheme="minorHAnsi"/>
        </w:rPr>
        <w:t>*innen</w:t>
      </w:r>
      <w:r w:rsidR="00940E92" w:rsidRPr="00A248A2">
        <w:rPr>
          <w:rFonts w:ascii="BMFChange" w:eastAsia="BMFChange Light" w:hAnsi="BMFChange" w:cstheme="minorHAnsi"/>
        </w:rPr>
        <w:t xml:space="preserve"> nach Abzug der erzielten Nebenkostenreduzierung durch die Energieeinsparung keine erhebliche Erhöhung der Warmmieten erfahren.</w:t>
      </w:r>
    </w:p>
    <w:p w14:paraId="4FAD6630" w14:textId="77777777" w:rsidR="00940E92" w:rsidRPr="00A248A2" w:rsidRDefault="00940E92" w:rsidP="00940E92">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Abrisse von Wohngebäuden oder Gebäudeteilen im Gebiet FAN werden weiterhin nicht empfohlen</w:t>
      </w:r>
      <w:r>
        <w:rPr>
          <w:rFonts w:ascii="BMFChange" w:eastAsia="BMFChange Light" w:hAnsi="BMFChange" w:cstheme="minorHAnsi"/>
        </w:rPr>
        <w:t>.</w:t>
      </w:r>
    </w:p>
    <w:p w14:paraId="54A6E3D4" w14:textId="77777777" w:rsidR="004C08D4" w:rsidRPr="004C08D4" w:rsidRDefault="004C08D4" w:rsidP="004C08D4">
      <w:pPr>
        <w:pStyle w:val="berschrift2"/>
        <w:rPr>
          <w:rFonts w:eastAsia="BMFChange Light"/>
        </w:rPr>
      </w:pPr>
      <w:r w:rsidRPr="004C08D4">
        <w:rPr>
          <w:rFonts w:eastAsia="BMFChange Light"/>
        </w:rPr>
        <w:t xml:space="preserve">Potentiale Neubau und ergänzendes Bauen </w:t>
      </w:r>
    </w:p>
    <w:p w14:paraId="18ED4509" w14:textId="443670D6" w:rsidR="00940E92" w:rsidRDefault="00940E92" w:rsidP="00940E92">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Nach der Fertigstellung aller geplanten und im Bau befindlichen Neubauvorhaben gibt es im Gebiet FAN keine nennenswerten Potentiale für weiteren Neubau</w:t>
      </w:r>
      <w:r>
        <w:rPr>
          <w:rFonts w:ascii="BMFChange" w:eastAsia="BMFChange Light" w:hAnsi="BMFChange" w:cstheme="minorHAnsi"/>
        </w:rPr>
        <w:t xml:space="preserve">, außer der </w:t>
      </w:r>
      <w:r w:rsidRPr="00A248A2">
        <w:rPr>
          <w:rFonts w:ascii="BMFChange" w:eastAsia="BMFChange Light" w:hAnsi="BMFChange" w:cstheme="minorHAnsi"/>
        </w:rPr>
        <w:t>nach wie vor gewerblich genutzten Grundstücke Hubertusstraße 16 und 17</w:t>
      </w:r>
      <w:r>
        <w:rPr>
          <w:rFonts w:ascii="BMFChange" w:eastAsia="BMFChange Light" w:hAnsi="BMFChange" w:cstheme="minorHAnsi"/>
        </w:rPr>
        <w:t xml:space="preserve">, die </w:t>
      </w:r>
      <w:r w:rsidRPr="006C4395">
        <w:rPr>
          <w:rFonts w:ascii="BMFChange" w:eastAsia="BMFChange Light" w:hAnsi="BMFChange" w:cstheme="minorHAnsi"/>
        </w:rPr>
        <w:t xml:space="preserve">grundsätzlich als Wohnstandort </w:t>
      </w:r>
      <w:r w:rsidRPr="00A248A2">
        <w:rPr>
          <w:rFonts w:ascii="BMFChange" w:eastAsia="BMFChange Light" w:hAnsi="BMFChange" w:cstheme="minorHAnsi"/>
        </w:rPr>
        <w:t xml:space="preserve">mit insgesamt 20 WE </w:t>
      </w:r>
      <w:r>
        <w:rPr>
          <w:rFonts w:ascii="BMFChange" w:eastAsia="BMFChange Light" w:hAnsi="BMFChange" w:cstheme="minorHAnsi"/>
        </w:rPr>
        <w:t>entwickelt</w:t>
      </w:r>
      <w:r w:rsidRPr="00A248A2">
        <w:rPr>
          <w:rFonts w:ascii="BMFChange" w:eastAsia="BMFChange Light" w:hAnsi="BMFChange" w:cstheme="minorHAnsi"/>
        </w:rPr>
        <w:t xml:space="preserve"> werden</w:t>
      </w:r>
      <w:r>
        <w:rPr>
          <w:rFonts w:ascii="BMFChange" w:eastAsia="BMFChange Light" w:hAnsi="BMFChange" w:cstheme="minorHAnsi"/>
        </w:rPr>
        <w:t xml:space="preserve"> könnten</w:t>
      </w:r>
      <w:r w:rsidRPr="00A248A2">
        <w:rPr>
          <w:rFonts w:ascii="BMFChange" w:eastAsia="BMFChange Light" w:hAnsi="BMFChange" w:cstheme="minorHAnsi"/>
        </w:rPr>
        <w:t>.</w:t>
      </w:r>
      <w:r w:rsidR="009D3691">
        <w:rPr>
          <w:rFonts w:ascii="BMFChange" w:eastAsia="BMFChange Light" w:hAnsi="BMFChange" w:cstheme="minorHAnsi"/>
        </w:rPr>
        <w:t xml:space="preserve"> </w:t>
      </w:r>
      <w:r w:rsidR="009D3691" w:rsidRPr="009D3691">
        <w:rPr>
          <w:rFonts w:ascii="BMFChange" w:eastAsia="BMFChange Light" w:hAnsi="BMFChange" w:cstheme="minorHAnsi"/>
        </w:rPr>
        <w:t>Kleinteilige ergänzende Bebauung ist im Einzelfall nicht ausgeschlossen, muss sich jedoch in den städtebaulichen Rahmen des Umfelds einfügen.</w:t>
      </w:r>
    </w:p>
    <w:p w14:paraId="7387BDFD" w14:textId="60F5A681" w:rsidR="008F2E22" w:rsidRPr="00A248A2" w:rsidRDefault="008F2E22" w:rsidP="00940E92">
      <w:pPr>
        <w:spacing w:after="200" w:line="276" w:lineRule="auto"/>
        <w:textAlignment w:val="baseline"/>
        <w:rPr>
          <w:rFonts w:ascii="BMFChange" w:eastAsia="BMFChange Light" w:hAnsi="BMFChange" w:cstheme="minorHAnsi"/>
        </w:rPr>
      </w:pPr>
      <w:r w:rsidRPr="008F2E22">
        <w:rPr>
          <w:rFonts w:ascii="BMFChange" w:eastAsia="BMFChange Light" w:hAnsi="BMFChange" w:cstheme="minorHAnsi"/>
        </w:rPr>
        <w:t>Für den Block des ehemaligen Ministeriums für Staatssicherheit ist über die bestehenden Wohngebäude in der Magdalenenstraße hinaus, keine weitere Wohnnutzung vorgesehen. Insbesondere die prekäre Freiflächensituation und mögliche Konflikte mit den Nutzungsanforderungen des Campus für Demokratie - etwa in Form von Lärmschutz bei Veranstaltungen im Freibereich – schließen diese Nutzung hier aus</w:t>
      </w:r>
      <w:r>
        <w:rPr>
          <w:rFonts w:ascii="BMFChange" w:eastAsia="BMFChange Light" w:hAnsi="BMFChange" w:cstheme="minorHAnsi"/>
        </w:rPr>
        <w:t>.</w:t>
      </w:r>
    </w:p>
    <w:p w14:paraId="617E3007" w14:textId="77777777" w:rsidR="00940E92" w:rsidRPr="004C08D4" w:rsidRDefault="00940E92" w:rsidP="004C08D4">
      <w:pPr>
        <w:pStyle w:val="berschrift2"/>
        <w:rPr>
          <w:rFonts w:eastAsia="BMFChange Light"/>
        </w:rPr>
      </w:pPr>
      <w:r w:rsidRPr="004C08D4">
        <w:rPr>
          <w:rFonts w:eastAsia="BMFChange Light"/>
        </w:rPr>
        <w:t>Dachgeschossausbauten</w:t>
      </w:r>
    </w:p>
    <w:p w14:paraId="34DDDBE8" w14:textId="77777777" w:rsidR="008F2E22" w:rsidRDefault="00940E92" w:rsidP="00940E92">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 xml:space="preserve">Der Ausbau von Dächern ist eine Möglichkeit, Wohnfläche zu </w:t>
      </w:r>
      <w:r w:rsidR="00EC25D4" w:rsidRPr="00A248A2">
        <w:rPr>
          <w:rFonts w:ascii="BMFChange" w:eastAsia="BMFChange Light" w:hAnsi="BMFChange" w:cstheme="minorHAnsi"/>
        </w:rPr>
        <w:t>gewinnen,</w:t>
      </w:r>
      <w:r w:rsidRPr="00A248A2">
        <w:rPr>
          <w:rFonts w:ascii="BMFChange" w:eastAsia="BMFChange Light" w:hAnsi="BMFChange" w:cstheme="minorHAnsi"/>
        </w:rPr>
        <w:t xml:space="preserve"> ohne die Grundstücksfläche weiter zu überbauen und zu versiegeln. Dachgeschossausbauten in Bestandsgebäuden im Gebiet FAN finden sich gegenwärtig vor allem im Bereich östlich der Alfredstraße und südlich der Rüdigerstraße</w:t>
      </w:r>
      <w:r>
        <w:rPr>
          <w:rFonts w:ascii="BMFChange" w:eastAsia="BMFChange Light" w:hAnsi="BMFChange" w:cstheme="minorHAnsi"/>
        </w:rPr>
        <w:t xml:space="preserve">. </w:t>
      </w:r>
      <w:r w:rsidRPr="00A248A2">
        <w:rPr>
          <w:rFonts w:ascii="BMFChange" w:eastAsia="BMFChange Light" w:hAnsi="BMFChange" w:cstheme="minorHAnsi"/>
        </w:rPr>
        <w:t xml:space="preserve">Seit 2014 hat sich die Zahl der Gebäude mit ausgebauten Dächern </w:t>
      </w:r>
      <w:r>
        <w:rPr>
          <w:rFonts w:ascii="BMFChange" w:eastAsia="BMFChange Light" w:hAnsi="BMFChange" w:cstheme="minorHAnsi"/>
        </w:rPr>
        <w:t xml:space="preserve">vor allem </w:t>
      </w:r>
      <w:r w:rsidRPr="00A248A2">
        <w:rPr>
          <w:rFonts w:ascii="BMFChange" w:eastAsia="BMFChange Light" w:hAnsi="BMFChange" w:cstheme="minorHAnsi"/>
        </w:rPr>
        <w:t xml:space="preserve">in der Sanierungsinsel um die Siegfriedstraße mit ihrer dichten nachgründerzeitlichen Bebauung </w:t>
      </w:r>
      <w:r>
        <w:rPr>
          <w:rFonts w:ascii="BMFChange" w:eastAsia="BMFChange Light" w:hAnsi="BMFChange" w:cstheme="minorHAnsi"/>
        </w:rPr>
        <w:t>erhöht</w:t>
      </w:r>
      <w:r w:rsidRPr="00A248A2">
        <w:rPr>
          <w:rFonts w:ascii="BMFChange" w:eastAsia="BMFChange Light" w:hAnsi="BMFChange" w:cstheme="minorHAnsi"/>
        </w:rPr>
        <w:t xml:space="preserve">. Das Potential betrifft </w:t>
      </w:r>
      <w:r w:rsidR="0007486D">
        <w:rPr>
          <w:rFonts w:ascii="BMFChange" w:eastAsia="BMFChange Light" w:hAnsi="BMFChange" w:cstheme="minorHAnsi"/>
        </w:rPr>
        <w:t xml:space="preserve">aber </w:t>
      </w:r>
      <w:r w:rsidRPr="00A248A2">
        <w:rPr>
          <w:rFonts w:ascii="BMFChange" w:eastAsia="BMFChange Light" w:hAnsi="BMFChange" w:cstheme="minorHAnsi"/>
        </w:rPr>
        <w:t xml:space="preserve">auch die zwischen den beiden Weltkriegen erbauten Wohnanlagen und Gebäude. </w:t>
      </w:r>
    </w:p>
    <w:p w14:paraId="41055A81" w14:textId="3E4A35AA" w:rsidR="00940E92" w:rsidRPr="00A248A2" w:rsidRDefault="008F2E22" w:rsidP="00940E92">
      <w:pPr>
        <w:spacing w:after="200" w:line="276" w:lineRule="auto"/>
        <w:textAlignment w:val="baseline"/>
        <w:rPr>
          <w:rFonts w:ascii="BMFChange" w:eastAsia="BMFChange Light" w:hAnsi="BMFChange" w:cstheme="minorHAnsi"/>
        </w:rPr>
      </w:pPr>
      <w:r w:rsidRPr="008F2E22">
        <w:rPr>
          <w:rFonts w:ascii="BMFChange" w:eastAsia="BMFChange Light" w:hAnsi="BMFChange" w:cstheme="minorHAnsi"/>
        </w:rPr>
        <w:t>Im Bereich des Sanierungsgebiets sollte der Dachgeschossausbau nur unter Auflagen erfolgen. So sollten Ausgleichsmaßnahmen, wie die Entsiegelung und Begrünung der Hofflächen, Fassaden- bzw. Dachbegrünungen vereinbart werden.</w:t>
      </w:r>
    </w:p>
    <w:p w14:paraId="056DD82A" w14:textId="77777777" w:rsidR="00940E92" w:rsidRPr="00A248A2" w:rsidRDefault="00940E92" w:rsidP="004C08D4">
      <w:pPr>
        <w:pStyle w:val="berschrift2"/>
        <w:rPr>
          <w:rFonts w:eastAsia="BMFChange Light"/>
        </w:rPr>
      </w:pPr>
      <w:r w:rsidRPr="00A248A2">
        <w:rPr>
          <w:rFonts w:eastAsia="BMFChange Light"/>
        </w:rPr>
        <w:lastRenderedPageBreak/>
        <w:t>Aufstockungen</w:t>
      </w:r>
    </w:p>
    <w:p w14:paraId="620A79CE" w14:textId="77777777" w:rsidR="00940E92" w:rsidRPr="00A248A2" w:rsidRDefault="00940E92" w:rsidP="00940E92">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Bei Wohngebäuden mit Flachdächern bietet sich zur Nachverdichtung</w:t>
      </w:r>
      <w:r>
        <w:rPr>
          <w:rFonts w:ascii="BMFChange" w:eastAsia="BMFChange Light" w:hAnsi="BMFChange" w:cstheme="minorHAnsi"/>
        </w:rPr>
        <w:t xml:space="preserve"> ggf.</w:t>
      </w:r>
      <w:r w:rsidRPr="00A248A2">
        <w:rPr>
          <w:rFonts w:ascii="BMFChange" w:eastAsia="BMFChange Light" w:hAnsi="BMFChange" w:cstheme="minorHAnsi"/>
        </w:rPr>
        <w:t xml:space="preserve"> eine Aufstockung an. Diese ist insbesondere dort nachbarschaftsverträglich umsetzbar, wo die Bestandsbebauung eher locker mit großzügigen Freiflächen angelegt ist. </w:t>
      </w:r>
    </w:p>
    <w:p w14:paraId="46EFB6AB" w14:textId="77777777" w:rsidR="00940E92" w:rsidRPr="00A248A2" w:rsidRDefault="00940E92" w:rsidP="00940E92">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Durch eine Aufstockung in Holzbauweise ließe sich die Bauzeit und damit die Belastung der Bestandsmieter</w:t>
      </w:r>
      <w:r>
        <w:rPr>
          <w:rFonts w:ascii="BMFChange" w:eastAsia="BMFChange Light" w:hAnsi="BMFChange" w:cstheme="minorHAnsi"/>
        </w:rPr>
        <w:t>*innen</w:t>
      </w:r>
      <w:r w:rsidRPr="00A248A2">
        <w:rPr>
          <w:rFonts w:ascii="BMFChange" w:eastAsia="BMFChange Light" w:hAnsi="BMFChange" w:cstheme="minorHAnsi"/>
        </w:rPr>
        <w:t xml:space="preserve"> erheblich reduzieren. Der notwendige Einbau von Aufzügen würde eine Verbesserung der Barrierefreiheit </w:t>
      </w:r>
      <w:r>
        <w:rPr>
          <w:rFonts w:ascii="BMFChange" w:eastAsia="BMFChange Light" w:hAnsi="BMFChange" w:cstheme="minorHAnsi"/>
        </w:rPr>
        <w:t>im Bestand</w:t>
      </w:r>
      <w:r w:rsidRPr="00A248A2">
        <w:rPr>
          <w:rFonts w:ascii="BMFChange" w:eastAsia="BMFChange Light" w:hAnsi="BMFChange" w:cstheme="minorHAnsi"/>
        </w:rPr>
        <w:t xml:space="preserve"> bedeuten.</w:t>
      </w:r>
    </w:p>
    <w:p w14:paraId="45E76063" w14:textId="48C64A0A" w:rsidR="00940E92" w:rsidRPr="00A248A2" w:rsidRDefault="00940E92" w:rsidP="00686209">
      <w:pPr>
        <w:spacing w:after="200" w:line="276" w:lineRule="auto"/>
        <w:textAlignment w:val="baseline"/>
        <w:rPr>
          <w:rFonts w:ascii="BMFChange" w:eastAsia="BMFChange Light" w:hAnsi="BMFChange" w:cstheme="minorHAnsi"/>
        </w:rPr>
      </w:pPr>
      <w:r w:rsidRPr="00A248A2">
        <w:rPr>
          <w:rFonts w:ascii="BMFChange" w:eastAsia="BMFChange Light" w:hAnsi="BMFChange" w:cstheme="minorHAnsi"/>
        </w:rPr>
        <w:t>Bei einem entsprechenden Umfang der Aufstockungen ließen sich über Mengeneffekte beim Bau leistbare Mietwohnungen errichten.</w:t>
      </w:r>
    </w:p>
    <w:p w14:paraId="58698816" w14:textId="77777777" w:rsidR="00940E92" w:rsidRPr="00940E92" w:rsidRDefault="00940E92" w:rsidP="00940E92"/>
    <w:p w14:paraId="639690D4" w14:textId="77777777" w:rsidR="00940E92" w:rsidRPr="00940E92" w:rsidRDefault="00940E92" w:rsidP="00940E92">
      <w:r>
        <w:rPr>
          <w:rFonts w:ascii="BMFChange" w:eastAsia="BMFChange Light" w:hAnsi="BMFChange" w:cstheme="minorHAnsi"/>
          <w:noProof/>
        </w:rPr>
        <w:drawing>
          <wp:inline distT="0" distB="0" distL="0" distR="0" wp14:anchorId="223EF0E1" wp14:editId="63ABB5BD">
            <wp:extent cx="5743575" cy="28956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222" b="13583"/>
                    <a:stretch/>
                  </pic:blipFill>
                  <pic:spPr bwMode="auto">
                    <a:xfrm>
                      <a:off x="0" y="0"/>
                      <a:ext cx="5743575" cy="2895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MFChange" w:eastAsia="BMFChange Light" w:hAnsi="BMFChange" w:cstheme="minorHAnsi"/>
          <w:noProof/>
        </w:rPr>
        <w:drawing>
          <wp:inline distT="0" distB="0" distL="0" distR="0" wp14:anchorId="4D67F0DF" wp14:editId="2790735B">
            <wp:extent cx="5681097" cy="8096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478" t="85715" r="26866" b="468"/>
                    <a:stretch/>
                  </pic:blipFill>
                  <pic:spPr bwMode="auto">
                    <a:xfrm>
                      <a:off x="0" y="0"/>
                      <a:ext cx="5703691" cy="812845"/>
                    </a:xfrm>
                    <a:prstGeom prst="rect">
                      <a:avLst/>
                    </a:prstGeom>
                    <a:noFill/>
                    <a:ln>
                      <a:noFill/>
                    </a:ln>
                    <a:extLst>
                      <a:ext uri="{53640926-AAD7-44D8-BBD7-CCE9431645EC}">
                        <a14:shadowObscured xmlns:a14="http://schemas.microsoft.com/office/drawing/2010/main"/>
                      </a:ext>
                    </a:extLst>
                  </pic:spPr>
                </pic:pic>
              </a:graphicData>
            </a:graphic>
          </wp:inline>
        </w:drawing>
      </w:r>
    </w:p>
    <w:sectPr w:rsidR="00940E92" w:rsidRPr="00940E9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D6A97" w14:textId="77777777" w:rsidR="00940E92" w:rsidRDefault="00940E92" w:rsidP="00940E92">
      <w:pPr>
        <w:spacing w:after="0" w:line="240" w:lineRule="auto"/>
      </w:pPr>
      <w:r>
        <w:separator/>
      </w:r>
    </w:p>
  </w:endnote>
  <w:endnote w:type="continuationSeparator" w:id="0">
    <w:p w14:paraId="2D433E11" w14:textId="77777777" w:rsidR="00940E92" w:rsidRDefault="00940E92" w:rsidP="00940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MFChange Light">
    <w:panose1 w:val="02000503040000020004"/>
    <w:charset w:val="00"/>
    <w:family w:val="auto"/>
    <w:pitch w:val="variable"/>
    <w:sig w:usb0="A00002EF" w:usb1="5000204B" w:usb2="00000000" w:usb3="00000000" w:csb0="0000009F" w:csb1="00000000"/>
  </w:font>
  <w:font w:name="BMFChange">
    <w:panose1 w:val="02000503040000020004"/>
    <w:charset w:val="00"/>
    <w:family w:val="auto"/>
    <w:pitch w:val="variable"/>
    <w:sig w:usb0="A00002EF" w:usb1="5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62374" w14:textId="77777777" w:rsidR="00940E92" w:rsidRDefault="00940E92" w:rsidP="00940E92">
      <w:pPr>
        <w:spacing w:after="0" w:line="240" w:lineRule="auto"/>
      </w:pPr>
      <w:r>
        <w:separator/>
      </w:r>
    </w:p>
  </w:footnote>
  <w:footnote w:type="continuationSeparator" w:id="0">
    <w:p w14:paraId="3D018FE1" w14:textId="77777777" w:rsidR="00940E92" w:rsidRDefault="00940E92" w:rsidP="00940E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E92"/>
    <w:rsid w:val="0007486D"/>
    <w:rsid w:val="00463946"/>
    <w:rsid w:val="004C08D4"/>
    <w:rsid w:val="00686209"/>
    <w:rsid w:val="008F2E22"/>
    <w:rsid w:val="00940E92"/>
    <w:rsid w:val="009D3691"/>
    <w:rsid w:val="00AC736D"/>
    <w:rsid w:val="00EC25D4"/>
    <w:rsid w:val="00F7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1338"/>
  <w15:chartTrackingRefBased/>
  <w15:docId w15:val="{90DC95B7-F171-4104-8B18-C176C682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40E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40E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940E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0E92"/>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940E92"/>
    <w:rPr>
      <w:rFonts w:asciiTheme="majorHAnsi" w:eastAsiaTheme="majorEastAsia" w:hAnsiTheme="majorHAnsi" w:cstheme="majorBidi"/>
      <w:color w:val="1F3763" w:themeColor="accent1" w:themeShade="7F"/>
      <w:sz w:val="24"/>
      <w:szCs w:val="24"/>
    </w:rPr>
  </w:style>
  <w:style w:type="paragraph" w:styleId="Funotentext">
    <w:name w:val="footnote text"/>
    <w:basedOn w:val="Standard"/>
    <w:link w:val="FunotentextZchn"/>
    <w:uiPriority w:val="99"/>
    <w:semiHidden/>
    <w:unhideWhenUsed/>
    <w:rsid w:val="00940E92"/>
    <w:pPr>
      <w:spacing w:after="0" w:line="240" w:lineRule="auto"/>
    </w:pPr>
    <w:rPr>
      <w:rFonts w:ascii="Times New Roman" w:eastAsia="PMingLiU" w:hAnsi="Times New Roman" w:cs="Times New Roman"/>
      <w:sz w:val="20"/>
      <w:szCs w:val="20"/>
      <w:lang w:val="en-US"/>
    </w:rPr>
  </w:style>
  <w:style w:type="character" w:customStyle="1" w:styleId="FunotentextZchn">
    <w:name w:val="Fußnotentext Zchn"/>
    <w:basedOn w:val="Absatz-Standardschriftart"/>
    <w:link w:val="Funotentext"/>
    <w:uiPriority w:val="99"/>
    <w:semiHidden/>
    <w:rsid w:val="00940E92"/>
    <w:rPr>
      <w:rFonts w:ascii="Times New Roman" w:eastAsia="PMingLiU" w:hAnsi="Times New Roman" w:cs="Times New Roman"/>
      <w:sz w:val="20"/>
      <w:szCs w:val="20"/>
      <w:lang w:val="en-US"/>
    </w:rPr>
  </w:style>
  <w:style w:type="character" w:styleId="Funotenzeichen">
    <w:name w:val="footnote reference"/>
    <w:basedOn w:val="Absatz-Standardschriftart"/>
    <w:uiPriority w:val="99"/>
    <w:semiHidden/>
    <w:unhideWhenUsed/>
    <w:rsid w:val="00940E92"/>
    <w:rPr>
      <w:vertAlign w:val="superscript"/>
    </w:rPr>
  </w:style>
  <w:style w:type="character" w:customStyle="1" w:styleId="berschrift2Zchn">
    <w:name w:val="Überschrift 2 Zchn"/>
    <w:basedOn w:val="Absatz-Standardschriftart"/>
    <w:link w:val="berschrift2"/>
    <w:uiPriority w:val="9"/>
    <w:rsid w:val="00940E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2755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Franzkowiak</dc:creator>
  <cp:keywords/>
  <dc:description/>
  <cp:lastModifiedBy>Markus Tegeler</cp:lastModifiedBy>
  <cp:revision>7</cp:revision>
  <dcterms:created xsi:type="dcterms:W3CDTF">2020-05-04T10:23:00Z</dcterms:created>
  <dcterms:modified xsi:type="dcterms:W3CDTF">2020-06-26T11:39:00Z</dcterms:modified>
</cp:coreProperties>
</file>